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94" w:rsidRPr="007F25A3" w:rsidRDefault="00EE3AE1" w:rsidP="00681060">
      <w:pPr>
        <w:pStyle w:val="Caption"/>
        <w:rPr>
          <w:rFonts w:cs="Segoe UI"/>
        </w:rPr>
      </w:pPr>
      <w:r>
        <w:rPr>
          <w:noProof/>
        </w:rPr>
        <w:drawing>
          <wp:anchor distT="0" distB="0" distL="114300" distR="114300" simplePos="0" relativeHeight="251668992" behindDoc="0" locked="0" layoutInCell="1" allowOverlap="1" wp14:anchorId="543740AD" wp14:editId="66B90A5B">
            <wp:simplePos x="0" y="0"/>
            <wp:positionH relativeFrom="column">
              <wp:posOffset>-228600</wp:posOffset>
            </wp:positionH>
            <wp:positionV relativeFrom="paragraph">
              <wp:posOffset>1600200</wp:posOffset>
            </wp:positionV>
            <wp:extent cx="1371600" cy="1371600"/>
            <wp:effectExtent l="0" t="0" r="0" b="0"/>
            <wp:wrapNone/>
            <wp:docPr id="14"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FA5CA3">
        <w:rPr>
          <w:noProof/>
        </w:rPr>
        <mc:AlternateContent>
          <mc:Choice Requires="wps">
            <w:drawing>
              <wp:anchor distT="0" distB="0" distL="114298" distR="114298" simplePos="0" relativeHeight="251667968" behindDoc="0" locked="0" layoutInCell="1" allowOverlap="1" wp14:anchorId="63CF3945" wp14:editId="1FD501B5">
                <wp:simplePos x="0" y="0"/>
                <wp:positionH relativeFrom="column">
                  <wp:posOffset>342899</wp:posOffset>
                </wp:positionH>
                <wp:positionV relativeFrom="paragraph">
                  <wp:posOffset>2560320</wp:posOffset>
                </wp:positionV>
                <wp:extent cx="0" cy="4114800"/>
                <wp:effectExtent l="0" t="0" r="19050" b="190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ElFKk&#10;A402QnE0C63pjSvAo1JbG4qjJ/VsNpr+dEjpqiVqzyPFl7OBsCxEJK9CwsYZSLDrv2kGPuTgdezT&#10;qbFdgIQOoFOU43yTg588osMhhdM8y/JZGqVKSHENNNb5r1x3KBgllsA5ApPjxvlAhBRXl5BH6bWQ&#10;MqotFeqB7Tx9SGOE01KwcBv8nN3vKmnRkYSBiV8sC27u3aw+KBbRWk7Y6mJ7IuRgQ3apAh7UAnwu&#10;1jARv+bpfDVbzfJRPpmuRnla16Mv6yofTdfZ54f6U11VdfY7UMvyohWMcRXYXaczy/9P/cs7Gebq&#10;Np+3PiSv0WPDgOz1H0lHMYN+wyTsNDtv7VVkGMjofHk8YeLv92DfP/HlH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b/&#10;u1kTAgAAKgQAAA4AAAAAAAAAAAAAAAAALgIAAGRycy9lMm9Eb2MueG1sUEsBAi0AFAAGAAgAAAAh&#10;ADdEuKj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6944" behindDoc="0" locked="0" layoutInCell="1" allowOverlap="1" wp14:anchorId="49AF36F9" wp14:editId="61DCCD77">
                <wp:simplePos x="0" y="0"/>
                <wp:positionH relativeFrom="column">
                  <wp:posOffset>571499</wp:posOffset>
                </wp:positionH>
                <wp:positionV relativeFrom="paragraph">
                  <wp:posOffset>2514600</wp:posOffset>
                </wp:positionV>
                <wp:extent cx="0" cy="4114800"/>
                <wp:effectExtent l="0" t="0" r="19050"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6y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M4wU&#10;6UCjrVAczUJreuMK8KjUzobi6Fm9mK2m3x1SumqJOvBI8fViICwLEcmbkLBxBhLs+8+agQ85eh37&#10;dG5sFyChA+gc5bjc5eBnj+hwSOE0z7J8nkapElLcAo11/hPXHQpGiSVwjsDktHU+ECHFzSXkUXoj&#10;pIxqS4V6YLtIn9IY4bQULNwGP2cP+0padCJhYOIXy4KbRzerj4pFtJYTtr7angg52JBdqoAHtQCf&#10;qzVMxI9FuljP1/N8lE+m61Ge1vXo46bKR9NNNnuqP9RVVWc/A7UsL1rBGFeB3W06s/zv1L++k2Gu&#10;7vN570PyFj02DMje/pF0FDPoN0zCXrPLzt5EhoGMztfHEyb+cQ/24xNf/Q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N+y&#10;XrITAgAAKgQAAA4AAAAAAAAAAAAAAAAALgIAAGRycy9lMm9Eb2MueG1sUEsBAi0AFAAGAAgAAAAh&#10;AAwHFcr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5920" behindDoc="0" locked="0" layoutInCell="1" allowOverlap="1" wp14:anchorId="6EC3345B" wp14:editId="51BC7700">
                <wp:simplePos x="0" y="0"/>
                <wp:positionH relativeFrom="column">
                  <wp:posOffset>457199</wp:posOffset>
                </wp:positionH>
                <wp:positionV relativeFrom="paragraph">
                  <wp:posOffset>2583180</wp:posOffset>
                </wp:positionV>
                <wp:extent cx="0" cy="4914900"/>
                <wp:effectExtent l="0" t="0" r="19050"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ePEgIAACkEAAAOAAAAZHJzL2Uyb0RvYy54bWysU8GO2jAQvVfqP1i+QxKapRARVlUCvdAu&#10;0m4/wNgOserYlm0IqOq/d+wAYttLtdocnLFn5vnNvPHi8dRJdOTWCa1KnI1TjLiimgm1L/GPl/Vo&#10;hpHzRDEiteIlPnOHH5cfPyx6U/CJbrVk3CIAUa7oTYlb702RJI62vCNurA1X4Gy07YiHrd0nzJIe&#10;0DuZTNJ0mvTaMmM15c7BaT048TLiNw2n/qlpHPdIlhi4+bjauO7CmiwXpNhbYlpBLzTIG1h0RCi4&#10;9AZVE0/QwYp/oDpBrXa68WOqu0Q3jaA81gDVZOlf1Ty3xPBYCzTHmVub3PvB0u/HrUWClXiCkSId&#10;SLQRiqNp6ExvXAEBldraUBs9qWez0fSnQ0pXLVF7Hhm+nA2kZSEjeZUSNs4A/q7/phnEkIPXsU2n&#10;xnYBEhqATlGN800NfvKIDocUTvN5ls/TqFRCimuisc5/5bpDwSixBM4RmBw3zgcipLiGhHuUXgsp&#10;o9hSoR7YztOHNGY4LQUL3hDn7H5XSYuOJMxL/GJZ4LkPs/qgWERrOWGri+2JkIMNt0sV8KAW4HOx&#10;hoH4NU/nq9lqlo/yyXQ1ytO6Hn1ZV/lous4+P9Sf6qqqs9+BWpYXrWCMq8DuOpxZ/n/iX57JMFa3&#10;8bz1IXmNHhsGZK//SDqKGfQbJmGn2XlrryLDPMbgy9sJA3+/B/v+hS//AAAA//8DAFBLAwQUAAYA&#10;CAAAACEAC3S1nNwAAAAKAQAADwAAAGRycy9kb3ducmV2LnhtbEyPwU7DMAyG70i8Q2QkbizZNEYo&#10;TSeYxGU3ygQcvSa0FY1TNVnXvj2GCxxt//r8f/l28p0Y3RDbQAaWCwXCURVsS7WBw+vzjQYRE5LF&#10;LpAzMLsI2+LyIsfMhjO9uLFMtWAIxQwNNCn1mZSxapzHuAi9I759hsFj4nGopR3wzHDfyZVSG+mx&#10;Jf7QYO92jau+ypNnyu27ftqjPsxzV37cr3dv+5G8MddX0+MDiOSm9BeGn/pcHQrudAwnslF0Bu5W&#10;rJIMrNWGFTjwuzhycKmVBlnk8r9C8Q0AAP//AwBQSwECLQAUAAYACAAAACEAtoM4kv4AAADhAQAA&#10;EwAAAAAAAAAAAAAAAAAAAAAAW0NvbnRlbnRfVHlwZXNdLnhtbFBLAQItABQABgAIAAAAIQA4/SH/&#10;1gAAAJQBAAALAAAAAAAAAAAAAAAAAC8BAABfcmVscy8ucmVsc1BLAQItABQABgAIAAAAIQBoyZeP&#10;EgIAACkEAAAOAAAAAAAAAAAAAAAAAC4CAABkcnMvZTJvRG9jLnhtbFBLAQItABQABgAIAAAAIQAL&#10;dLWc3AAAAAoBAAAPAAAAAAAAAAAAAAAAAGwEAABkcnMvZG93bnJldi54bWxQSwUGAAAAAAQABADz&#10;AAAAdQUAAAAA&#10;" strokeweight="1.5pt"/>
            </w:pict>
          </mc:Fallback>
        </mc:AlternateContent>
      </w:r>
      <w:r w:rsidR="00FA5CA3">
        <w:rPr>
          <w:noProof/>
        </w:rPr>
        <mc:AlternateContent>
          <mc:Choice Requires="wps">
            <w:drawing>
              <wp:anchor distT="0" distB="0" distL="114298" distR="114298" simplePos="0" relativeHeight="251664896" behindDoc="0" locked="0" layoutInCell="1" allowOverlap="1" wp14:anchorId="462E233A" wp14:editId="730A34F2">
                <wp:simplePos x="0" y="0"/>
                <wp:positionH relativeFrom="column">
                  <wp:posOffset>342899</wp:posOffset>
                </wp:positionH>
                <wp:positionV relativeFrom="paragraph">
                  <wp:posOffset>342900</wp:posOffset>
                </wp:positionV>
                <wp:extent cx="0" cy="1143000"/>
                <wp:effectExtent l="0" t="0" r="19050"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5oGAIAADM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9ipEgL&#10;I9oIxdE4dKYzroCApdraUBs9qRez0fSbQ0ovG6L2PDJ8PRtIy0JG8iYlbJwB/F33STOIIQevY5tO&#10;tW1RLYX5GhIDOLQCneJczre58JNHtD+kcJpl+UOaxpklpAgQIdFY5z9y3aJglFgC+whIjhvnA6Vf&#10;ISFc6bWQMo5dKtQB6iwdpzHDaSlY8IY4Z/e7pbToSIJy4hcLBM99mNUHxSJawwlbXWxPhOxtuF2q&#10;gAe1AJ+L1Uvj+yydraaraT7IR5PVIE+ravBhvcwHk3X2OK4equWyyn4EalleNIIxrgK7q0yz/O9k&#10;cHkwvcBuQr31IXmLHhsGZK//SDqONUyy18ROs/PWXscNyozBl1cUpH+/B/v+rS9+AgAA//8DAFBL&#10;AwQUAAYACAAAACEASnVoTtgAAAAIAQAADwAAAGRycy9kb3ducmV2LnhtbEyP20rDQBCG7wXfYRnB&#10;m2I31gMSMykiWBDqRVsfYJqdJtHsbMhu2/j2jiLUq+HnG/5DMR99Zw48xDYIwvU0A8NSBddKjfC+&#10;ebl6ABMTiaMuCCN8cYR5eX5WUO7CUVZ8WKfaqInEnBCalPrc2lg17ClOQ8+ibBcGT0nlUFs30FHN&#10;fWdnWXZvPbWiCQ31/Nxw9bnee4Q4keXbaqmhG+Zd9jHpFwv/inh5MT49gkk8ptMz/NTX6lBqp23Y&#10;i4umQ7i71Snp7yr/1VuE2Y0CWxb2/4DyGwAA//8DAFBLAQItABQABgAIAAAAIQC2gziS/gAAAOEB&#10;AAATAAAAAAAAAAAAAAAAAAAAAABbQ29udGVudF9UeXBlc10ueG1sUEsBAi0AFAAGAAgAAAAhADj9&#10;If/WAAAAlAEAAAsAAAAAAAAAAAAAAAAALwEAAF9yZWxzLy5yZWxzUEsBAi0AFAAGAAgAAAAhACnO&#10;TmgYAgAAMwQAAA4AAAAAAAAAAAAAAAAALgIAAGRycy9lMm9Eb2MueG1sUEsBAi0AFAAGAAgAAAAh&#10;AEp1aE7YAAAACAEAAA8AAAAAAAAAAAAAAAAAcgQAAGRycy9kb3ducmV2LnhtbFBLBQYAAAAABAAE&#10;APMAAAB3BQAAAAA=&#10;" strokeweight="1.5pt"/>
            </w:pict>
          </mc:Fallback>
        </mc:AlternateContent>
      </w:r>
      <w:r w:rsidR="00FA5CA3">
        <w:rPr>
          <w:noProof/>
        </w:rPr>
        <mc:AlternateContent>
          <mc:Choice Requires="wps">
            <w:drawing>
              <wp:anchor distT="0" distB="0" distL="114298" distR="114298" simplePos="0" relativeHeight="251663872" behindDoc="0" locked="0" layoutInCell="1" allowOverlap="1" wp14:anchorId="699E0FB0" wp14:editId="6FCCC2CE">
                <wp:simplePos x="0" y="0"/>
                <wp:positionH relativeFrom="column">
                  <wp:posOffset>571499</wp:posOffset>
                </wp:positionH>
                <wp:positionV relativeFrom="paragraph">
                  <wp:posOffset>342900</wp:posOffset>
                </wp:positionV>
                <wp:extent cx="0" cy="1143000"/>
                <wp:effectExtent l="0" t="0" r="19050" b="190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RpGAIAADM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HSJEO&#10;RrQRiqM8dKY3roCASm1tqI2e1LPZaPrNIaWrlqg9jwxfzgbSspCRvEoJG2cAf9d/1AxiyMHr2KZT&#10;YzvUSGG+hsQADq1ApziX820u/OQRHQ4pnGZZ/pCmcWYJKQJESDTW+Q9cdygYJZbAPgKS48b5QOlX&#10;SAhXei2kjGOXCvWAOk8f05jhtBQseEOcs/tdJS06kqCc+MUCwXMfZvVBsYjWcsJWF9sTIQcbbpcq&#10;4EEtwOdiDdL4Pk/nq9lqlo/yyXQ1ytO6Hr1fV/lous7ePdYPdVXV2Y9ALcuLVjDGVWB3lWmW/50M&#10;Lg9mENhNqLc+JK/RY8OA7PUfScexhkkOmthpdt7a67hBmTH48oqC9O/3YN+/9eVPAA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F3xBGkYAgAAMwQAAA4AAAAAAAAAAAAAAAAALgIAAGRycy9lMm9Eb2MueG1sUEsBAi0AFAAGAAgA&#10;AAAhAF6WwV/bAAAACAEAAA8AAAAAAAAAAAAAAAAAcgQAAGRycy9kb3ducmV2LnhtbFBLBQYAAAAA&#10;BAAEAPMAAAB6BQAAAAA=&#10;" strokeweight="1.5pt"/>
            </w:pict>
          </mc:Fallback>
        </mc:AlternateContent>
      </w:r>
      <w:r w:rsidR="00FA5CA3">
        <w:rPr>
          <w:noProof/>
        </w:rPr>
        <mc:AlternateContent>
          <mc:Choice Requires="wps">
            <w:drawing>
              <wp:anchor distT="0" distB="0" distL="114298" distR="114298" simplePos="0" relativeHeight="251662848" behindDoc="0" locked="0" layoutInCell="1" allowOverlap="1" wp14:anchorId="1D5A39F2" wp14:editId="296DBBFA">
                <wp:simplePos x="0" y="0"/>
                <wp:positionH relativeFrom="column">
                  <wp:posOffset>457199</wp:posOffset>
                </wp:positionH>
                <wp:positionV relativeFrom="paragraph">
                  <wp:posOffset>0</wp:posOffset>
                </wp:positionV>
                <wp:extent cx="0" cy="1485900"/>
                <wp:effectExtent l="0" t="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Nz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YTjBTp&#10;YEZPQnH0EFrTG1dARKW2NhRHT+rZPGn6zSGlq5aoPY8UX84G0rKQkbxKCRtn4IJd/1EziCEHr2Of&#10;To3tUCOF+RoSAzj0Ap3iYM63wfCTR3Q4pHCa5fPpIo1DS0gRIEKisc5/4LpDwSixBPYRkByfnA+U&#10;foWEcKU3Qso4d6lQD6iLdJrGDKelYMEb4pzd7ypp0ZEE6cQvFgie+zCrD4pFtJYTtr7Yngg52HC7&#10;VAEPagE+F2vQxvdFuljP1/N8lE9m61Ge1vXo/abKR7NN9m5aP9RVVWc/ArUsL1rBGFeB3VWnWf53&#10;Ori8mEFhN6Xe+pC8Ro8NA7LXfyQdxxomOWhip9l5a6/jBmnG4MszCtq/34N9/9hXPwE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G3UNz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CE2AD3" w:rsidP="00B07394">
      <w:pPr>
        <w:rPr>
          <w:rFonts w:ascii="Segoe UI" w:hAnsi="Segoe UI" w:cs="Segoe UI"/>
        </w:rPr>
      </w:pPr>
      <w:r>
        <w:rPr>
          <w:noProof/>
        </w:rPr>
        <mc:AlternateContent>
          <mc:Choice Requires="wps">
            <w:drawing>
              <wp:anchor distT="0" distB="0" distL="114299" distR="114299" simplePos="0" relativeHeight="251659776" behindDoc="0" locked="0" layoutInCell="1" allowOverlap="1" wp14:editId="1DCF651D">
                <wp:simplePos x="0" y="0"/>
                <wp:positionH relativeFrom="column">
                  <wp:posOffset>342899</wp:posOffset>
                </wp:positionH>
                <wp:positionV relativeFrom="paragraph">
                  <wp:posOffset>2560320</wp:posOffset>
                </wp:positionV>
                <wp:extent cx="0" cy="4114800"/>
                <wp:effectExtent l="0" t="0" r="19050" b="1905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1W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eY6RI&#10;BxpthOJoFlrTG1eAR6W2NhRHT+rZbDT96ZDSVUvUnkeKL2cDYVmISF6FhI0zkGDXf9MMfMjB69in&#10;U2O7AAkdQKcox/kmBz95RIdDCqd5luWzNEqVkOIaaKzzX7nuUDBKLIFzBCbHjfOBCCmuLiGP0msh&#10;ZVRbKtQD23n6kMYIp6Vg4Tb4ObvfVdKiIwkDE79YFtzcu1l9UCyitZyw1cX2RMjBhuxSBTyoBfhc&#10;rGEifs3T+Wq2muWjfDJdjfK0rkdf1lU+mq6zzw/1p7qq6ux3oJblRSsY4yqwu05nlv+f+pd3MszV&#10;bT5vfUheo8eGAdnrP5KOYgb9hknYaXbe2qvIMJDR+fJ4wsTf78G+f+LLP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9m&#10;jVYTAgAAKgQAAA4AAAAAAAAAAAAAAAAALgIAAGRycy9lMm9Eb2MueG1sUEsBAi0AFAAGAAgAAAAh&#10;ADdEuKj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0aK&#10;dKDRRiiOnkJreuMK8KjU1obi6Em9mo2m3x1SumqJ2vNI8e1sICwLEcm7kLBxBhLs+i+agQ85eB37&#10;dGpsFyChA+gU5Tjf5OAnj+hwSOE0z7J8lkapElJcA411/jPXHQpGiSVwjsDkuHE+ECHF1SXkUXot&#10;pIxqS4V6YDtPH9MY4bQULNwGP2f3u0padCRhYOIXy4KbezerD4pFtJYTtrrYngg52JBdqoAHtQCf&#10;izVMxI95Ol/NVrN8lE+mq1Ge1vXo07rKR9N19vRYP9RVVWc/A7UsL1rBGFeB3XU6s/zv1L+8k2Gu&#10;bvN560PyHj02DMhe/5F0FDPoN0zCTrPz1l5FhoGMzpfHEyb+fg/2/RNf/g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Cst&#10;MTsTAgAAKgQAAA4AAAAAAAAAAAAAAAAALgIAAGRycy9lMm9Eb2MueG1sUEsBAi0AFAAGAAgAAAAh&#10;AAwHFcr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7728"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uX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wUiR&#10;DjTaCMXRNLSmN64Aj0ptbSiOntSz2Wj60yGlq5aoPY8UX84GwrIQkbwKCRtnIMGu/6YZ+JCD17FP&#10;p8Z2ARI6gE5RjvNNDn7yiA6HFE7zeZbP0yhVQoproLHOf+W6Q8EosQTOEZgcN84HIqS4uoQ8Sq+F&#10;lFFtqVAPbOfpQxojnJaChdvg5+x+V0mLjiQMTPxiWXBz72b1QbGI1nLCVhfbEyEHG7JLFfCgFuBz&#10;sYaJ+DVP56vZapaP8sl0NcrTuh59WVf5aLrOPj/Un+qqqrPfgVqWF61gjKvA7jqdWf5/6l/eyTBX&#10;t/m89SF5jR4bBmSv/0g6ihn0GyZhp9l5a68iw0BG58vjCRN/vwf7/okv/wA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6GNr&#10;lxMCAAAqBAAADgAAAAAAAAAAAAAAAAAuAgAAZHJzL2Uyb0RvYy54bWxQSwECLQAUAAYACAAAACEA&#10;C3S1nNwAAAAKAQAADwAAAAAAAAAAAAAAAABtBAAAZHJzL2Rvd25yZXYueG1sUEsFBgAAAAAEAAQA&#10;8wAAAHYFAAAAAA==&#10;" strokeweight="1.5pt"/>
            </w:pict>
          </mc:Fallback>
        </mc:AlternateContent>
      </w:r>
      <w:r>
        <w:rPr>
          <w:noProof/>
        </w:rPr>
        <mc:AlternateContent>
          <mc:Choice Requires="wps">
            <w:drawing>
              <wp:anchor distT="0" distB="0" distL="114299" distR="114299" simplePos="0" relativeHeight="251656704"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74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xnGCnS&#10;wYyehOJoGlrTG1dARKW2NhRHT+rZPGn6zSGlq5aoPY8UX84G0rKQkbxKCRtn4IJd/1EziCEHr2Of&#10;To3tUCOF+RoSAzj0Ap3iYM63wfCTR3Q4pHCaZflDmsahJaQIECHRWOc/cN2hYJRYAvsISI5PzgdK&#10;v0JCuNIbIWWcu1SoB9RFOk1jhtNSsOANcc7ud5W06EiCdOIXCwTPfZjVB8UiWssJW19sT4QcbLhd&#10;qoAHtQCfizVo4/siXazn63k+yiez9ShP63r0flPlo9kmezetH+qqqrMfgVqWF61gjKvA7qrTLP87&#10;HVxezKCwm1JvfUheo8eGAdnrP5KOYw2THDSx0+y8tddxgzRj8OUZBe3f78G+f+yrnwA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0&#10;6c74GQIAADQEAAAOAAAAAAAAAAAAAAAAAC4CAABkcnMvZTJvRG9jLnhtbFBLAQItABQABgAIAAAA&#10;IQBKdWhO2AAAAAgBAAAPAAAAAAAAAAAAAAAAAHMEAABkcnMvZG93bnJldi54bWxQSwUGAAAAAAQA&#10;BADzAAAAeAUAAAAA&#10;" strokeweight="1.5pt"/>
            </w:pict>
          </mc:Fallback>
        </mc:AlternateContent>
      </w:r>
      <w:r>
        <w:rPr>
          <w:noProof/>
        </w:rPr>
        <mc:AlternateContent>
          <mc:Choice Requires="wps">
            <w:drawing>
              <wp:anchor distT="0" distB="0" distL="114299" distR="114299" simplePos="0" relativeHeight="251655680"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2oGA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pxDexTp&#10;YEYboTjKQ2t64wqIqNTWhuLoST2bjabfHFK6aona80jx5WwgLQsZyauUsHEGLtj1HzWDGHLwOvbp&#10;1NgONVKYryExgEMv0CkO5nwbDD95RIdDCqdZlj+kaRxaQooAERKNdf4D1x0KRoklsI+A5LhxPlD6&#10;FRLClV4LKePcpUI9oM7TxzRmOC0FC94Q5+x+V0mLjiRIJ36xQPDch1l9UCyitZyw1cX2RMjBhtul&#10;CnhQC/C5WIM2vs/T+Wq2muWjfDJdjfK0rkfv11U+mq6zd4/1Q11VdfYjUMvyohWMcRXYXXWa5X+n&#10;g8uLGRR2U+qtD8lr9NgwIHv9R9JxrGGSgyZ2mp239jpukGYMvjyjoP37Pdj3j335Ew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IRB/agYAgAANAQAAA4AAAAAAAAAAAAAAAAALgIAAGRycy9lMm9Eb2MueG1sUEsBAi0AFAAGAAgA&#10;AAAhAF6WwV/bAAAACAEAAA8AAAAAAAAAAAAAAAAAcgQAAGRycy9kb3ducmV2LnhtbFBLBQYAAAAA&#10;BAAEAPMAAAB6BQAAAAA=&#10;" strokeweight="1.5pt"/>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I4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vEc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W5oI4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B07394" w:rsidP="00B07394">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tabs>
          <w:tab w:val="center" w:pos="5040"/>
        </w:tabs>
        <w:rPr>
          <w:rFonts w:ascii="Segoe UI" w:hAnsi="Segoe UI" w:cs="Segoe UI"/>
        </w:rPr>
      </w:pPr>
    </w:p>
    <w:p w:rsidR="00B07394" w:rsidRPr="007F25A3" w:rsidRDefault="00B07394" w:rsidP="00B624A2">
      <w:pPr>
        <w:tabs>
          <w:tab w:val="center" w:pos="5040"/>
        </w:tabs>
        <w:rPr>
          <w:rFonts w:ascii="Segoe UI" w:hAnsi="Segoe UI" w:cs="Segoe UI"/>
        </w:rPr>
      </w:pPr>
    </w:p>
    <w:p w:rsidR="00B07394" w:rsidRPr="007F25A3" w:rsidRDefault="00B07394" w:rsidP="00B07394">
      <w:pPr>
        <w:ind w:firstLine="720"/>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07394">
      <w:pPr>
        <w:tabs>
          <w:tab w:val="right" w:pos="10080"/>
        </w:tabs>
        <w:rPr>
          <w:rFonts w:ascii="Segoe UI" w:hAnsi="Segoe UI" w:cs="Segoe UI"/>
        </w:rPr>
      </w:pPr>
    </w:p>
    <w:p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rsidR="003A38D4" w:rsidRDefault="003A38D4" w:rsidP="00B07394">
      <w:pPr>
        <w:tabs>
          <w:tab w:val="right" w:pos="10080"/>
        </w:tabs>
        <w:rPr>
          <w:rFonts w:ascii="Segoe UI" w:hAnsi="Segoe UI" w:cs="Segoe UI"/>
          <w:b/>
          <w:bCs/>
          <w:sz w:val="72"/>
          <w:szCs w:val="72"/>
        </w:rPr>
      </w:pPr>
    </w:p>
    <w:p w:rsidR="00734C3E" w:rsidRPr="007F25A3" w:rsidRDefault="00734C3E" w:rsidP="00B07394">
      <w:pPr>
        <w:tabs>
          <w:tab w:val="right" w:pos="10080"/>
        </w:tabs>
        <w:rPr>
          <w:rFonts w:ascii="Segoe UI" w:hAnsi="Segoe UI" w:cs="Segoe UI"/>
        </w:rPr>
      </w:pPr>
    </w:p>
    <w:p w:rsidR="00DE5B25" w:rsidRPr="007F25A3"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rsidR="00B07394" w:rsidRPr="007F25A3" w:rsidRDefault="00B07394" w:rsidP="007A78F1">
      <w:pPr>
        <w:tabs>
          <w:tab w:val="left" w:pos="2160"/>
        </w:tabs>
        <w:rPr>
          <w:rFonts w:ascii="Segoe UI" w:hAnsi="Segoe UI" w:cs="Segoe UI"/>
        </w:rPr>
      </w:pPr>
    </w:p>
    <w:p w:rsidR="003A38D4" w:rsidRPr="007F25A3" w:rsidRDefault="003A38D4" w:rsidP="00B624A2">
      <w:pPr>
        <w:rPr>
          <w:rFonts w:ascii="Segoe UI" w:hAnsi="Segoe UI" w:cs="Segoe UI"/>
        </w:rPr>
      </w:pPr>
    </w:p>
    <w:p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rsidR="00B07394" w:rsidRPr="007F25A3" w:rsidRDefault="00B07394" w:rsidP="00B624A2">
      <w:pPr>
        <w:rPr>
          <w:rFonts w:ascii="Segoe UI" w:hAnsi="Segoe UI" w:cs="Segoe UI"/>
        </w:rPr>
      </w:pPr>
    </w:p>
    <w:p w:rsidR="00B07394" w:rsidRPr="007F25A3" w:rsidRDefault="00B07394" w:rsidP="005626A4">
      <w:pPr>
        <w:rPr>
          <w:rFonts w:ascii="Segoe UI" w:hAnsi="Segoe UI" w:cs="Segoe UI"/>
        </w:rPr>
      </w:pPr>
      <w:r w:rsidRPr="007F25A3">
        <w:rPr>
          <w:rFonts w:ascii="Segoe UI" w:hAnsi="Segoe UI" w:cs="Segoe UI"/>
        </w:rPr>
        <w:tab/>
      </w:r>
      <w:r w:rsidRPr="007F25A3">
        <w:rPr>
          <w:rFonts w:ascii="Segoe UI" w:hAnsi="Segoe UI" w:cs="Segoe UI"/>
        </w:rPr>
        <w:tab/>
      </w:r>
      <w:r w:rsidR="005626A4" w:rsidRPr="007F25A3">
        <w:rPr>
          <w:rFonts w:ascii="Segoe UI" w:hAnsi="Segoe UI" w:cs="Segoe UI"/>
        </w:rPr>
        <w:tab/>
      </w:r>
      <w:r w:rsidRPr="007F25A3">
        <w:rPr>
          <w:rFonts w:ascii="Segoe UI" w:hAnsi="Segoe UI" w:cs="Segoe UI"/>
        </w:rPr>
        <w:t>Division of Water Resources</w:t>
      </w:r>
    </w:p>
    <w:p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rsidR="00B07394" w:rsidRPr="007F25A3" w:rsidRDefault="00B07394" w:rsidP="00B07394">
      <w:pPr>
        <w:ind w:left="1440" w:firstLine="720"/>
        <w:rPr>
          <w:rFonts w:ascii="Segoe UI" w:hAnsi="Segoe UI" w:cs="Segoe UI"/>
        </w:rPr>
      </w:pPr>
      <w:r w:rsidRPr="007F25A3">
        <w:rPr>
          <w:rFonts w:ascii="Segoe UI" w:hAnsi="Segoe UI" w:cs="Segoe UI"/>
        </w:rPr>
        <w:t>785-296-6087</w:t>
      </w:r>
    </w:p>
    <w:p w:rsidR="00052F5A" w:rsidRDefault="00052F5A" w:rsidP="00B07394">
      <w:pPr>
        <w:ind w:left="1440" w:firstLine="720"/>
        <w:rPr>
          <w:rFonts w:ascii="Segoe UI" w:hAnsi="Segoe UI" w:cs="Segoe UI"/>
          <w:b/>
        </w:rPr>
      </w:pPr>
    </w:p>
    <w:p w:rsidR="007A78F1" w:rsidRPr="007F25A3" w:rsidRDefault="005511A3" w:rsidP="00B07394">
      <w:pPr>
        <w:ind w:left="1440" w:firstLine="720"/>
        <w:rPr>
          <w:rFonts w:ascii="Segoe UI" w:hAnsi="Segoe UI" w:cs="Segoe UI"/>
          <w:b/>
        </w:rPr>
      </w:pPr>
      <w:r>
        <w:rPr>
          <w:rFonts w:ascii="Segoe UI" w:hAnsi="Segoe UI" w:cs="Segoe UI"/>
          <w:b/>
        </w:rPr>
        <w:t>August 2</w:t>
      </w:r>
      <w:r w:rsidR="00332D6E">
        <w:rPr>
          <w:rFonts w:ascii="Segoe UI" w:hAnsi="Segoe UI" w:cs="Segoe UI"/>
          <w:b/>
        </w:rPr>
        <w:t>9</w:t>
      </w:r>
      <w:r w:rsidR="00165F14">
        <w:rPr>
          <w:rFonts w:ascii="Segoe UI" w:hAnsi="Segoe UI" w:cs="Segoe UI"/>
          <w:b/>
        </w:rPr>
        <w:t>, 2012</w:t>
      </w:r>
    </w:p>
    <w:p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rsidR="0052483D" w:rsidRPr="0052483D" w:rsidRDefault="005C6388">
      <w:pPr>
        <w:pStyle w:val="TOC3"/>
        <w:tabs>
          <w:tab w:val="right" w:leader="dot" w:pos="9350"/>
        </w:tabs>
        <w:rPr>
          <w:rFonts w:ascii="Segoe UI" w:eastAsiaTheme="minorEastAsia" w:hAnsi="Segoe UI" w:cs="Segoe UI"/>
          <w:noProof/>
          <w:sz w:val="22"/>
          <w:szCs w:val="22"/>
        </w:rPr>
      </w:pPr>
      <w:r w:rsidRPr="0052483D">
        <w:rPr>
          <w:rFonts w:ascii="Segoe UI" w:hAnsi="Segoe UI" w:cs="Segoe UI"/>
        </w:rPr>
        <w:fldChar w:fldCharType="begin"/>
      </w:r>
      <w:r w:rsidRPr="0052483D">
        <w:rPr>
          <w:rFonts w:ascii="Segoe UI" w:hAnsi="Segoe UI" w:cs="Segoe UI"/>
        </w:rPr>
        <w:instrText xml:space="preserve"> TOC \o "1-3" \h \z \u </w:instrText>
      </w:r>
      <w:r w:rsidRPr="0052483D">
        <w:rPr>
          <w:rFonts w:ascii="Segoe UI" w:hAnsi="Segoe UI" w:cs="Segoe UI"/>
        </w:rPr>
        <w:fldChar w:fldCharType="separate"/>
      </w:r>
      <w:hyperlink w:anchor="_Toc334007505" w:history="1">
        <w:r w:rsidR="0052483D" w:rsidRPr="0052483D">
          <w:rPr>
            <w:rStyle w:val="Hyperlink"/>
            <w:rFonts w:ascii="Segoe UI" w:hAnsi="Segoe UI" w:cs="Segoe UI"/>
            <w:noProof/>
          </w:rPr>
          <w:t>Executive Summary</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_Toc334007505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4</w:t>
        </w:r>
        <w:r w:rsidR="0052483D" w:rsidRPr="0052483D">
          <w:rPr>
            <w:rFonts w:ascii="Segoe UI" w:hAnsi="Segoe UI" w:cs="Segoe UI"/>
            <w:noProof/>
            <w:webHidden/>
          </w:rPr>
          <w:fldChar w:fldCharType="end"/>
        </w:r>
      </w:hyperlink>
    </w:p>
    <w:p w:rsidR="0052483D" w:rsidRPr="0052483D" w:rsidRDefault="00DD0326">
      <w:pPr>
        <w:pStyle w:val="TOC1"/>
        <w:rPr>
          <w:rFonts w:ascii="Segoe UI" w:eastAsiaTheme="minorEastAsia" w:hAnsi="Segoe UI" w:cs="Segoe UI"/>
          <w:b w:val="0"/>
          <w:noProof/>
          <w:sz w:val="22"/>
          <w:szCs w:val="22"/>
        </w:rPr>
      </w:pPr>
      <w:hyperlink w:anchor="_Toc334007506" w:history="1">
        <w:r w:rsidR="0052483D" w:rsidRPr="0052483D">
          <w:rPr>
            <w:rStyle w:val="Hyperlink"/>
            <w:rFonts w:ascii="Segoe UI" w:hAnsi="Segoe UI" w:cs="Segoe UI"/>
            <w:noProof/>
          </w:rPr>
          <w:t>I. Introduction</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_Toc334007506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4</w:t>
        </w:r>
        <w:r w:rsidR="0052483D" w:rsidRPr="0052483D">
          <w:rPr>
            <w:rFonts w:ascii="Segoe UI" w:hAnsi="Segoe UI" w:cs="Segoe UI"/>
            <w:noProof/>
            <w:webHidden/>
          </w:rPr>
          <w:fldChar w:fldCharType="end"/>
        </w:r>
      </w:hyperlink>
    </w:p>
    <w:p w:rsidR="0052483D" w:rsidRPr="0052483D" w:rsidRDefault="00DD0326">
      <w:pPr>
        <w:pStyle w:val="TOC1"/>
        <w:rPr>
          <w:rFonts w:ascii="Segoe UI" w:eastAsiaTheme="minorEastAsia" w:hAnsi="Segoe UI" w:cs="Segoe UI"/>
          <w:b w:val="0"/>
          <w:noProof/>
          <w:sz w:val="22"/>
          <w:szCs w:val="22"/>
        </w:rPr>
      </w:pPr>
      <w:hyperlink w:anchor="_Toc334007507" w:history="1">
        <w:r w:rsidR="0052483D" w:rsidRPr="0052483D">
          <w:rPr>
            <w:rStyle w:val="Hyperlink"/>
            <w:rFonts w:ascii="Segoe UI" w:hAnsi="Segoe UI" w:cs="Segoe UI"/>
            <w:noProof/>
          </w:rPr>
          <w:t>II. Four-Year Evaluation of Management Program</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_Toc334007507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5</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08" w:history="1">
        <w:r w:rsidR="0052483D" w:rsidRPr="0052483D">
          <w:rPr>
            <w:rStyle w:val="Hyperlink"/>
            <w:rFonts w:ascii="Segoe UI" w:hAnsi="Segoe UI" w:cs="Segoe UI"/>
            <w:noProof/>
          </w:rPr>
          <w:t>A. Precipitation</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_Toc334007508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6</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09" w:history="1">
        <w:r w:rsidR="0052483D" w:rsidRPr="0052483D">
          <w:rPr>
            <w:rStyle w:val="Hyperlink"/>
            <w:rFonts w:ascii="Segoe UI" w:hAnsi="Segoe UI" w:cs="Segoe UI"/>
            <w:noProof/>
          </w:rPr>
          <w:t>B. Streamflow</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_Toc334007509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8</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0" w:history="1">
        <w:r w:rsidR="0052483D" w:rsidRPr="0052483D">
          <w:rPr>
            <w:rStyle w:val="Hyperlink"/>
            <w:rFonts w:ascii="Segoe UI" w:hAnsi="Segoe UI" w:cs="Segoe UI"/>
            <w:noProof/>
          </w:rPr>
          <w:t>January 10-Year Rolling Average of 25 cfs: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_Toc334007510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9</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1" w:history="1">
        <w:r w:rsidR="0052483D" w:rsidRPr="0052483D">
          <w:rPr>
            <w:rStyle w:val="Hyperlink"/>
            <w:rFonts w:ascii="Segoe UI" w:hAnsi="Segoe UI" w:cs="Segoe UI"/>
            <w:noProof/>
          </w:rPr>
          <w:t>Minimum Desirable Streamflow (MDS) at the Zenith Streamflow Gage</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_Toc334007511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10</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12" w:history="1">
        <w:r w:rsidR="0052483D" w:rsidRPr="0052483D">
          <w:rPr>
            <w:rStyle w:val="Hyperlink"/>
            <w:rFonts w:ascii="Segoe UI" w:hAnsi="Segoe UI" w:cs="Segoe UI"/>
            <w:noProof/>
          </w:rPr>
          <w:t>C.  Groundwater Level Trends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_Toc334007512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12</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13" w:history="1">
        <w:r w:rsidR="0052483D" w:rsidRPr="0052483D">
          <w:rPr>
            <w:rStyle w:val="Hyperlink"/>
            <w:rFonts w:ascii="Segoe UI" w:hAnsi="Segoe UI" w:cs="Segoe UI"/>
            <w:noProof/>
          </w:rPr>
          <w:t>D. Water Use</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_Toc334007513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16</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4" w:history="1">
        <w:r w:rsidR="0052483D" w:rsidRPr="0052483D">
          <w:rPr>
            <w:rStyle w:val="Hyperlink"/>
            <w:rFonts w:ascii="Segoe UI" w:hAnsi="Segoe UI" w:cs="Segoe UI"/>
            <w:noProof/>
          </w:rPr>
          <w:t>Stream Corridor Area</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_Toc334007514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16</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5" w:history="1">
        <w:r w:rsidR="0052483D" w:rsidRPr="0052483D">
          <w:rPr>
            <w:rStyle w:val="Hyperlink"/>
            <w:rFonts w:ascii="Segoe UI" w:hAnsi="Segoe UI" w:cs="Segoe UI"/>
            <w:noProof/>
          </w:rPr>
          <w:t>Groundwater Management Area</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_Toc334007515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18</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6" w:history="1">
        <w:r w:rsidR="0052483D" w:rsidRPr="0052483D">
          <w:rPr>
            <w:rStyle w:val="Hyperlink"/>
            <w:rFonts w:ascii="Segoe UI" w:hAnsi="Segoe UI" w:cs="Segoe UI"/>
            <w:noProof/>
          </w:rPr>
          <w:t>Basinwide Area</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_Toc334007516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19</w:t>
        </w:r>
        <w:r w:rsidR="0052483D" w:rsidRPr="0052483D">
          <w:rPr>
            <w:rFonts w:ascii="Segoe UI" w:hAnsi="Segoe UI" w:cs="Segoe UI"/>
            <w:noProof/>
            <w:webHidden/>
          </w:rPr>
          <w:fldChar w:fldCharType="end"/>
        </w:r>
      </w:hyperlink>
    </w:p>
    <w:p w:rsidR="0052483D" w:rsidRPr="0052483D" w:rsidRDefault="00DD0326">
      <w:pPr>
        <w:pStyle w:val="TOC1"/>
        <w:rPr>
          <w:rFonts w:ascii="Segoe UI" w:eastAsiaTheme="minorEastAsia" w:hAnsi="Segoe UI" w:cs="Segoe UI"/>
          <w:b w:val="0"/>
          <w:noProof/>
          <w:sz w:val="22"/>
          <w:szCs w:val="22"/>
        </w:rPr>
      </w:pPr>
      <w:hyperlink w:anchor="_Toc334007517" w:history="1">
        <w:r w:rsidR="0052483D" w:rsidRPr="0052483D">
          <w:rPr>
            <w:rStyle w:val="Hyperlink"/>
            <w:rFonts w:ascii="Segoe UI" w:hAnsi="Segoe UI" w:cs="Segoe UI"/>
            <w:noProof/>
          </w:rPr>
          <w:t>III. Management Strategies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_Toc334007517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22</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18" w:history="1">
        <w:r w:rsidR="0052483D" w:rsidRPr="0052483D">
          <w:rPr>
            <w:rStyle w:val="Hyperlink"/>
            <w:rFonts w:ascii="Segoe UI" w:hAnsi="Segoe UI" w:cs="Segoe UI"/>
            <w:noProof/>
          </w:rPr>
          <w:t>A. Water Transition Assistance Program</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_Toc334007518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22</w:t>
        </w:r>
        <w:r w:rsidR="0052483D" w:rsidRPr="0052483D">
          <w:rPr>
            <w:rFonts w:ascii="Segoe UI" w:hAnsi="Segoe UI" w:cs="Segoe UI"/>
            <w:noProof/>
            <w:webHidden/>
          </w:rPr>
          <w:fldChar w:fldCharType="end"/>
        </w:r>
      </w:hyperlink>
    </w:p>
    <w:p w:rsidR="0052483D" w:rsidRPr="0052483D" w:rsidRDefault="00DD0326">
      <w:pPr>
        <w:pStyle w:val="TOC3"/>
        <w:tabs>
          <w:tab w:val="right" w:leader="dot" w:pos="9350"/>
        </w:tabs>
        <w:rPr>
          <w:rFonts w:ascii="Segoe UI" w:eastAsiaTheme="minorEastAsia" w:hAnsi="Segoe UI" w:cs="Segoe UI"/>
          <w:noProof/>
          <w:sz w:val="22"/>
          <w:szCs w:val="22"/>
        </w:rPr>
      </w:pPr>
      <w:hyperlink w:anchor="_Toc334007519" w:history="1">
        <w:r w:rsidR="0052483D" w:rsidRPr="0052483D">
          <w:rPr>
            <w:rStyle w:val="Hyperlink"/>
            <w:rFonts w:ascii="Segoe UI" w:hAnsi="Segoe UI" w:cs="Segoe UI"/>
            <w:noProof/>
          </w:rPr>
          <w:t>Other Purchase Programs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_Toc334007519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22</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0" w:history="1">
        <w:r w:rsidR="0052483D" w:rsidRPr="0052483D">
          <w:rPr>
            <w:rStyle w:val="Hyperlink"/>
            <w:rFonts w:ascii="Segoe UI" w:hAnsi="Segoe UI" w:cs="Segoe UI"/>
            <w:noProof/>
          </w:rPr>
          <w:t>B. Water Banking</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_Toc334007520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23</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1" w:history="1">
        <w:r w:rsidR="0052483D" w:rsidRPr="0052483D">
          <w:rPr>
            <w:rStyle w:val="Hyperlink"/>
            <w:rFonts w:ascii="Segoe UI" w:hAnsi="Segoe UI" w:cs="Segoe UI"/>
            <w:noProof/>
          </w:rPr>
          <w:t>C. Flex Account</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_Toc334007521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24</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2" w:history="1">
        <w:r w:rsidR="0052483D" w:rsidRPr="0052483D">
          <w:rPr>
            <w:rStyle w:val="Hyperlink"/>
            <w:rFonts w:ascii="Segoe UI" w:hAnsi="Segoe UI" w:cs="Segoe UI"/>
            <w:noProof/>
          </w:rPr>
          <w:t>D. Conservation Practices and Irrigation Management</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_Toc334007522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24</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3" w:history="1">
        <w:r w:rsidR="0052483D" w:rsidRPr="0052483D">
          <w:rPr>
            <w:rStyle w:val="Hyperlink"/>
            <w:rFonts w:ascii="Segoe UI" w:hAnsi="Segoe UI" w:cs="Segoe UI"/>
            <w:noProof/>
          </w:rPr>
          <w:t>E. Voluntary Removal of End Guns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_Toc334007523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25</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4" w:history="1">
        <w:r w:rsidR="0052483D" w:rsidRPr="0052483D">
          <w:rPr>
            <w:rStyle w:val="Hyperlink"/>
            <w:rFonts w:ascii="Segoe UI" w:hAnsi="Segoe UI" w:cs="Segoe UI"/>
            <w:noProof/>
          </w:rPr>
          <w:t>F. Enhanced Enforcement and Compliance</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_Toc334007524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26</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5" w:history="1">
        <w:r w:rsidR="0052483D" w:rsidRPr="0052483D">
          <w:rPr>
            <w:rStyle w:val="Hyperlink"/>
            <w:rFonts w:ascii="Segoe UI" w:hAnsi="Segoe UI" w:cs="Segoe UI"/>
            <w:noProof/>
          </w:rPr>
          <w:t>G. Water Appropriation Transfers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_Toc334007525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27</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6" w:history="1">
        <w:r w:rsidR="0052483D" w:rsidRPr="0052483D">
          <w:rPr>
            <w:rStyle w:val="Hyperlink"/>
            <w:rFonts w:ascii="Segoe UI" w:hAnsi="Segoe UI" w:cs="Segoe UI"/>
            <w:noProof/>
          </w:rPr>
          <w:t>H. Mineral Intrusion Area-Replacement Wells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_Toc334007526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28</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7" w:history="1">
        <w:r w:rsidR="0052483D" w:rsidRPr="0052483D">
          <w:rPr>
            <w:rStyle w:val="Hyperlink"/>
            <w:rFonts w:ascii="Segoe UI" w:hAnsi="Segoe UI" w:cs="Segoe UI"/>
            <w:noProof/>
          </w:rPr>
          <w:t>I.  Augmentation</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_Toc334007527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28</w:t>
        </w:r>
        <w:r w:rsidR="0052483D" w:rsidRPr="0052483D">
          <w:rPr>
            <w:rFonts w:ascii="Segoe UI" w:hAnsi="Segoe UI" w:cs="Segoe UI"/>
            <w:noProof/>
            <w:webHidden/>
          </w:rPr>
          <w:fldChar w:fldCharType="end"/>
        </w:r>
      </w:hyperlink>
    </w:p>
    <w:p w:rsidR="0052483D" w:rsidRPr="0052483D" w:rsidRDefault="00DD0326">
      <w:pPr>
        <w:pStyle w:val="TOC2"/>
        <w:tabs>
          <w:tab w:val="right" w:leader="dot" w:pos="9350"/>
        </w:tabs>
        <w:rPr>
          <w:rFonts w:ascii="Segoe UI" w:eastAsiaTheme="minorEastAsia" w:hAnsi="Segoe UI" w:cs="Segoe UI"/>
          <w:noProof/>
          <w:sz w:val="22"/>
          <w:szCs w:val="22"/>
        </w:rPr>
      </w:pPr>
      <w:hyperlink w:anchor="_Toc334007528" w:history="1">
        <w:r w:rsidR="0052483D" w:rsidRPr="0052483D">
          <w:rPr>
            <w:rStyle w:val="Hyperlink"/>
            <w:rFonts w:ascii="Segoe UI" w:hAnsi="Segoe UI" w:cs="Segoe UI"/>
            <w:noProof/>
          </w:rPr>
          <w:t>J. Low Head Dams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_Toc334007528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29</w:t>
        </w:r>
        <w:r w:rsidR="0052483D" w:rsidRPr="0052483D">
          <w:rPr>
            <w:rFonts w:ascii="Segoe UI" w:hAnsi="Segoe UI" w:cs="Segoe UI"/>
            <w:noProof/>
            <w:webHidden/>
          </w:rPr>
          <w:fldChar w:fldCharType="end"/>
        </w:r>
      </w:hyperlink>
    </w:p>
    <w:p w:rsidR="0052483D" w:rsidRPr="0052483D" w:rsidRDefault="00DD0326">
      <w:pPr>
        <w:pStyle w:val="TOC1"/>
        <w:rPr>
          <w:rFonts w:ascii="Segoe UI" w:eastAsiaTheme="minorEastAsia" w:hAnsi="Segoe UI" w:cs="Segoe UI"/>
          <w:b w:val="0"/>
          <w:noProof/>
          <w:sz w:val="22"/>
          <w:szCs w:val="22"/>
        </w:rPr>
      </w:pPr>
      <w:hyperlink w:anchor="_Toc334007529" w:history="1">
        <w:r w:rsidR="0052483D" w:rsidRPr="0052483D">
          <w:rPr>
            <w:rStyle w:val="Hyperlink"/>
            <w:rFonts w:ascii="Segoe UI" w:hAnsi="Segoe UI" w:cs="Segoe UI"/>
            <w:noProof/>
          </w:rPr>
          <w:t>V. Summary</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_Toc334007529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29</w:t>
        </w:r>
        <w:r w:rsidR="0052483D" w:rsidRPr="0052483D">
          <w:rPr>
            <w:rFonts w:ascii="Segoe UI" w:hAnsi="Segoe UI" w:cs="Segoe UI"/>
            <w:noProof/>
            <w:webHidden/>
          </w:rPr>
          <w:fldChar w:fldCharType="end"/>
        </w:r>
      </w:hyperlink>
    </w:p>
    <w:p w:rsidR="0052483D" w:rsidRPr="0052483D" w:rsidRDefault="00DD0326">
      <w:pPr>
        <w:pStyle w:val="TOC1"/>
        <w:rPr>
          <w:rFonts w:ascii="Segoe UI" w:eastAsiaTheme="minorEastAsia" w:hAnsi="Segoe UI" w:cs="Segoe UI"/>
          <w:b w:val="0"/>
          <w:noProof/>
          <w:sz w:val="22"/>
          <w:szCs w:val="22"/>
        </w:rPr>
      </w:pPr>
      <w:hyperlink w:anchor="_Toc334007530" w:history="1">
        <w:r w:rsidR="0052483D" w:rsidRPr="0052483D">
          <w:rPr>
            <w:rStyle w:val="Hyperlink"/>
            <w:rFonts w:ascii="Segoe UI" w:hAnsi="Segoe UI" w:cs="Segoe UI"/>
            <w:noProof/>
          </w:rPr>
          <w:t>VI. Rattlesnake Creek Partner Position Papers</w:t>
        </w:r>
        <w:r w:rsidR="0052483D" w:rsidRPr="0052483D">
          <w:rPr>
            <w:rFonts w:ascii="Segoe UI" w:hAnsi="Segoe UI" w:cs="Segoe UI"/>
            <w:noProof/>
            <w:webHidden/>
          </w:rPr>
          <w:tab/>
        </w:r>
        <w:r w:rsidR="0052483D" w:rsidRPr="0052483D">
          <w:rPr>
            <w:rFonts w:ascii="Segoe UI" w:hAnsi="Segoe UI" w:cs="Segoe UI"/>
            <w:noProof/>
            <w:webHidden/>
          </w:rPr>
          <w:fldChar w:fldCharType="begin"/>
        </w:r>
        <w:r w:rsidR="0052483D" w:rsidRPr="0052483D">
          <w:rPr>
            <w:rFonts w:ascii="Segoe UI" w:hAnsi="Segoe UI" w:cs="Segoe UI"/>
            <w:noProof/>
            <w:webHidden/>
          </w:rPr>
          <w:instrText xml:space="preserve"> PAGEREF _Toc334007530 \h </w:instrText>
        </w:r>
        <w:r w:rsidR="0052483D" w:rsidRPr="0052483D">
          <w:rPr>
            <w:rFonts w:ascii="Segoe UI" w:hAnsi="Segoe UI" w:cs="Segoe UI"/>
            <w:noProof/>
            <w:webHidden/>
          </w:rPr>
        </w:r>
        <w:r w:rsidR="0052483D" w:rsidRPr="0052483D">
          <w:rPr>
            <w:rFonts w:ascii="Segoe UI" w:hAnsi="Segoe UI" w:cs="Segoe UI"/>
            <w:noProof/>
            <w:webHidden/>
          </w:rPr>
          <w:fldChar w:fldCharType="separate"/>
        </w:r>
        <w:r w:rsidR="0052483D" w:rsidRPr="0052483D">
          <w:rPr>
            <w:rFonts w:ascii="Segoe UI" w:hAnsi="Segoe UI" w:cs="Segoe UI"/>
            <w:noProof/>
            <w:webHidden/>
          </w:rPr>
          <w:t>33</w:t>
        </w:r>
        <w:r w:rsidR="0052483D" w:rsidRPr="0052483D">
          <w:rPr>
            <w:rFonts w:ascii="Segoe UI" w:hAnsi="Segoe UI" w:cs="Segoe UI"/>
            <w:noProof/>
            <w:webHidden/>
          </w:rPr>
          <w:fldChar w:fldCharType="end"/>
        </w:r>
      </w:hyperlink>
    </w:p>
    <w:p w:rsidR="005C6388" w:rsidRPr="000A5575" w:rsidRDefault="005C6388" w:rsidP="0081251D">
      <w:pPr>
        <w:rPr>
          <w:rFonts w:ascii="Segoe UI" w:hAnsi="Segoe UI" w:cs="Segoe UI"/>
          <w:b/>
        </w:rPr>
      </w:pPr>
      <w:r w:rsidRPr="0052483D">
        <w:rPr>
          <w:rFonts w:ascii="Segoe UI" w:hAnsi="Segoe UI" w:cs="Segoe UI"/>
        </w:rPr>
        <w:fldChar w:fldCharType="end"/>
      </w:r>
      <w:r w:rsidRPr="000A5575">
        <w:rPr>
          <w:rFonts w:ascii="Segoe UI" w:hAnsi="Segoe UI" w:cs="Segoe UI"/>
          <w:b/>
        </w:rPr>
        <w:t>Figures</w:t>
      </w:r>
      <w:r w:rsidR="007105E9" w:rsidRPr="000A5575">
        <w:rPr>
          <w:rFonts w:ascii="Segoe UI" w:hAnsi="Segoe UI" w:cs="Segoe UI"/>
          <w:b/>
        </w:rPr>
        <w:t xml:space="preserve"> &amp; Tables</w:t>
      </w:r>
    </w:p>
    <w:p w:rsidR="00256208" w:rsidRPr="00256208" w:rsidRDefault="005C6388">
      <w:pPr>
        <w:pStyle w:val="TableofFigures"/>
        <w:tabs>
          <w:tab w:val="right" w:leader="dot" w:pos="9350"/>
        </w:tabs>
        <w:rPr>
          <w:rFonts w:ascii="Segoe UI" w:eastAsiaTheme="minorEastAsia" w:hAnsi="Segoe UI" w:cs="Segoe UI"/>
          <w:noProof/>
          <w:sz w:val="22"/>
          <w:szCs w:val="22"/>
        </w:rPr>
      </w:pPr>
      <w:r w:rsidRPr="008F7E7C">
        <w:rPr>
          <w:rFonts w:ascii="Segoe UI" w:hAnsi="Segoe UI" w:cs="Segoe UI"/>
        </w:rPr>
        <w:fldChar w:fldCharType="begin"/>
      </w:r>
      <w:r w:rsidRPr="008F7E7C">
        <w:rPr>
          <w:rFonts w:ascii="Segoe UI" w:hAnsi="Segoe UI" w:cs="Segoe UI"/>
        </w:rPr>
        <w:instrText xml:space="preserve"> TOC \h \z \c "Figure" </w:instrText>
      </w:r>
      <w:r w:rsidRPr="008F7E7C">
        <w:rPr>
          <w:rFonts w:ascii="Segoe UI" w:hAnsi="Segoe UI" w:cs="Segoe UI"/>
        </w:rPr>
        <w:fldChar w:fldCharType="separate"/>
      </w:r>
      <w:hyperlink w:anchor="_Toc335721225" w:history="1">
        <w:r w:rsidR="00256208" w:rsidRPr="00256208">
          <w:rPr>
            <w:rStyle w:val="Hyperlink"/>
            <w:rFonts w:ascii="Segoe UI" w:hAnsi="Segoe UI" w:cs="Segoe UI"/>
            <w:noProof/>
          </w:rPr>
          <w:t>Figure 1: National Climatic Data Center and GMD 5 Weather Stations</w:t>
        </w:r>
        <w:r w:rsidR="00256208" w:rsidRPr="00256208">
          <w:rPr>
            <w:rFonts w:ascii="Segoe UI" w:hAnsi="Segoe UI" w:cs="Segoe UI"/>
            <w:noProof/>
            <w:webHidden/>
          </w:rPr>
          <w:tab/>
        </w:r>
        <w:r w:rsidR="00256208" w:rsidRPr="00256208">
          <w:rPr>
            <w:rFonts w:ascii="Segoe UI" w:hAnsi="Segoe UI" w:cs="Segoe UI"/>
            <w:noProof/>
            <w:webHidden/>
          </w:rPr>
          <w:fldChar w:fldCharType="begin"/>
        </w:r>
        <w:r w:rsidR="00256208" w:rsidRPr="00256208">
          <w:rPr>
            <w:rFonts w:ascii="Segoe UI" w:hAnsi="Segoe UI" w:cs="Segoe UI"/>
            <w:noProof/>
            <w:webHidden/>
          </w:rPr>
          <w:instrText xml:space="preserve"> PAGEREF _Toc335721225 \h </w:instrText>
        </w:r>
        <w:r w:rsidR="00256208" w:rsidRPr="00256208">
          <w:rPr>
            <w:rFonts w:ascii="Segoe UI" w:hAnsi="Segoe UI" w:cs="Segoe UI"/>
            <w:noProof/>
            <w:webHidden/>
          </w:rPr>
        </w:r>
        <w:r w:rsidR="00256208" w:rsidRPr="00256208">
          <w:rPr>
            <w:rFonts w:ascii="Segoe UI" w:hAnsi="Segoe UI" w:cs="Segoe UI"/>
            <w:noProof/>
            <w:webHidden/>
          </w:rPr>
          <w:fldChar w:fldCharType="separate"/>
        </w:r>
        <w:r w:rsidR="00256208" w:rsidRPr="00256208">
          <w:rPr>
            <w:rFonts w:ascii="Segoe UI" w:hAnsi="Segoe UI" w:cs="Segoe UI"/>
            <w:noProof/>
            <w:webHidden/>
          </w:rPr>
          <w:t>7</w:t>
        </w:r>
        <w:r w:rsidR="00256208"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26" w:history="1">
        <w:r w:rsidRPr="00256208">
          <w:rPr>
            <w:rStyle w:val="Hyperlink"/>
            <w:rFonts w:ascii="Segoe UI" w:hAnsi="Segoe UI" w:cs="Segoe UI"/>
            <w:noProof/>
          </w:rPr>
          <w:t>Figure 2: Precipitation for the Rattlesnake Creek Subbasin 1939-2011</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_Toc335721226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7</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27" w:history="1">
        <w:r w:rsidRPr="00256208">
          <w:rPr>
            <w:rStyle w:val="Hyperlink"/>
            <w:rFonts w:ascii="Segoe UI" w:hAnsi="Segoe UI" w:cs="Segoe UI"/>
            <w:noProof/>
          </w:rPr>
          <w:t>Figure 3: USGS Streamflow Gages</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_Toc335721227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8</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28" w:history="1">
        <w:r w:rsidRPr="00256208">
          <w:rPr>
            <w:rStyle w:val="Hyperlink"/>
            <w:rFonts w:ascii="Segoe UI" w:hAnsi="Segoe UI" w:cs="Segoe UI"/>
            <w:noProof/>
          </w:rPr>
          <w:t>Figure 4: January Streamflow for USGS Zenith Gage</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_Toc335721228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9</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29" w:history="1">
        <w:r w:rsidRPr="00256208">
          <w:rPr>
            <w:rStyle w:val="Hyperlink"/>
            <w:rFonts w:ascii="Segoe UI" w:hAnsi="Segoe UI" w:cs="Segoe UI"/>
            <w:noProof/>
          </w:rPr>
          <w:t>Figure 5: Zenith Streamflow and MDS</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_Toc335721229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10</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0" w:history="1">
        <w:r w:rsidRPr="00256208">
          <w:rPr>
            <w:rStyle w:val="Hyperlink"/>
            <w:rFonts w:ascii="Segoe UI" w:hAnsi="Segoe UI" w:cs="Segoe UI"/>
            <w:noProof/>
          </w:rPr>
          <w:t>Figure 6: Priority Areas and Monitoring Well Network</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_Toc335721230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11</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1" w:history="1">
        <w:r w:rsidRPr="00256208">
          <w:rPr>
            <w:rStyle w:val="Hyperlink"/>
            <w:rFonts w:ascii="Segoe UI" w:hAnsi="Segoe UI" w:cs="Segoe UI"/>
            <w:noProof/>
          </w:rPr>
          <w:t>Figure 7: Average Water Level Change by Priority Area</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_Toc335721231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12</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2" w:history="1">
        <w:r w:rsidRPr="00256208">
          <w:rPr>
            <w:rStyle w:val="Hyperlink"/>
            <w:rFonts w:ascii="Segoe UI" w:hAnsi="Segoe UI" w:cs="Segoe UI"/>
            <w:noProof/>
          </w:rPr>
          <w:t>Figure 8: Cumulative Change in Feet since 2000</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_Toc335721232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13</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3" w:history="1">
        <w:r w:rsidRPr="00256208">
          <w:rPr>
            <w:rStyle w:val="Hyperlink"/>
            <w:rFonts w:ascii="Segoe UI" w:hAnsi="Segoe UI" w:cs="Segoe UI"/>
            <w:noProof/>
          </w:rPr>
          <w:t>Figure 9: Interpolated Change in Water Levels</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_Toc335721233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14</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4" w:history="1">
        <w:r w:rsidRPr="00256208">
          <w:rPr>
            <w:rStyle w:val="Hyperlink"/>
            <w:rFonts w:ascii="Segoe UI" w:hAnsi="Segoe UI" w:cs="Segoe UI"/>
            <w:noProof/>
          </w:rPr>
          <w:t>Figure 10: Points of Diversion and Groundwater Use Areas</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_Toc335721234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15</w:t>
        </w:r>
        <w:r w:rsidRPr="00256208">
          <w:rPr>
            <w:rFonts w:ascii="Segoe UI" w:hAnsi="Segoe UI" w:cs="Segoe UI"/>
            <w:noProof/>
            <w:webHidden/>
          </w:rPr>
          <w:fldChar w:fldCharType="end"/>
        </w:r>
      </w:hyperlink>
      <w:bookmarkStart w:id="0" w:name="_GoBack"/>
      <w:bookmarkEnd w:id="0"/>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5" w:history="1">
        <w:r w:rsidRPr="00256208">
          <w:rPr>
            <w:rStyle w:val="Hyperlink"/>
            <w:rFonts w:ascii="Segoe UI" w:hAnsi="Segoe UI" w:cs="Segoe UI"/>
            <w:noProof/>
          </w:rPr>
          <w:t>Figure 11: Stream Corridor Groundwater Use</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_Toc335721235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16</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6" w:history="1">
        <w:r w:rsidRPr="00256208">
          <w:rPr>
            <w:rStyle w:val="Hyperlink"/>
            <w:rFonts w:ascii="Segoe UI" w:hAnsi="Segoe UI" w:cs="Segoe UI"/>
            <w:noProof/>
          </w:rPr>
          <w:t>Figure 12: Groundwater Management Area Groundwater Use</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_Toc335721236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17</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7" w:history="1">
        <w:r w:rsidRPr="00256208">
          <w:rPr>
            <w:rStyle w:val="Hyperlink"/>
            <w:rFonts w:ascii="Segoe UI" w:hAnsi="Segoe UI" w:cs="Segoe UI"/>
            <w:noProof/>
          </w:rPr>
          <w:t>Figure 13: Basinwide Area Groundwater Use</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_Toc335721237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18</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8" w:history="1">
        <w:r w:rsidRPr="00256208">
          <w:rPr>
            <w:rStyle w:val="Hyperlink"/>
            <w:rFonts w:ascii="Segoe UI" w:hAnsi="Segoe UI" w:cs="Segoe UI"/>
            <w:noProof/>
          </w:rPr>
          <w:t>Figure 14: Annual Precipitation and Irrigation Water Applied</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_Toc335721238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19</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39" w:history="1">
        <w:r w:rsidRPr="00256208">
          <w:rPr>
            <w:rStyle w:val="Hyperlink"/>
            <w:rFonts w:ascii="Segoe UI" w:hAnsi="Segoe UI" w:cs="Segoe UI"/>
            <w:noProof/>
          </w:rPr>
          <w:t>Figure 15: Reported Irrigated Acres, Priority Area 1, 2, 3, 4, Mineral Intrusion, Mystery River</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_Toc335721239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20</w:t>
        </w:r>
        <w:r w:rsidRPr="00256208">
          <w:rPr>
            <w:rFonts w:ascii="Segoe UI" w:hAnsi="Segoe UI" w:cs="Segoe UI"/>
            <w:noProof/>
            <w:webHidden/>
          </w:rPr>
          <w:fldChar w:fldCharType="end"/>
        </w:r>
      </w:hyperlink>
    </w:p>
    <w:p w:rsidR="00256208" w:rsidRPr="00256208" w:rsidRDefault="00256208">
      <w:pPr>
        <w:pStyle w:val="TableofFigures"/>
        <w:tabs>
          <w:tab w:val="right" w:leader="dot" w:pos="9350"/>
        </w:tabs>
        <w:rPr>
          <w:rFonts w:ascii="Segoe UI" w:eastAsiaTheme="minorEastAsia" w:hAnsi="Segoe UI" w:cs="Segoe UI"/>
          <w:noProof/>
          <w:sz w:val="22"/>
          <w:szCs w:val="22"/>
        </w:rPr>
      </w:pPr>
      <w:hyperlink w:anchor="_Toc335721240" w:history="1">
        <w:r w:rsidRPr="00256208">
          <w:rPr>
            <w:rStyle w:val="Hyperlink"/>
            <w:rFonts w:ascii="Segoe UI" w:hAnsi="Segoe UI" w:cs="Segoe UI"/>
            <w:noProof/>
          </w:rPr>
          <w:t>Figure 16: Reported Irrigated Acres, Priority Area 5 and 7</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_Toc335721240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20</w:t>
        </w:r>
        <w:r w:rsidRPr="00256208">
          <w:rPr>
            <w:rFonts w:ascii="Segoe UI" w:hAnsi="Segoe UI" w:cs="Segoe UI"/>
            <w:noProof/>
            <w:webHidden/>
          </w:rPr>
          <w:fldChar w:fldCharType="end"/>
        </w:r>
      </w:hyperlink>
    </w:p>
    <w:p w:rsidR="00256208" w:rsidRDefault="00256208">
      <w:pPr>
        <w:pStyle w:val="TableofFigures"/>
        <w:tabs>
          <w:tab w:val="right" w:leader="dot" w:pos="9350"/>
        </w:tabs>
        <w:rPr>
          <w:rFonts w:asciiTheme="minorHAnsi" w:eastAsiaTheme="minorEastAsia" w:hAnsiTheme="minorHAnsi" w:cstheme="minorBidi"/>
          <w:noProof/>
          <w:sz w:val="22"/>
          <w:szCs w:val="22"/>
        </w:rPr>
      </w:pPr>
      <w:hyperlink w:anchor="_Toc335721241" w:history="1">
        <w:r w:rsidRPr="00256208">
          <w:rPr>
            <w:rStyle w:val="Hyperlink"/>
            <w:rFonts w:ascii="Segoe UI" w:hAnsi="Segoe UI" w:cs="Segoe UI"/>
            <w:noProof/>
          </w:rPr>
          <w:t>Figure 17: Average Annual Zenith and Macksville Streamflow vs. Precipitation 1960-2011</w:t>
        </w:r>
        <w:r w:rsidRPr="00256208">
          <w:rPr>
            <w:rFonts w:ascii="Segoe UI" w:hAnsi="Segoe UI" w:cs="Segoe UI"/>
            <w:noProof/>
            <w:webHidden/>
          </w:rPr>
          <w:tab/>
        </w:r>
        <w:r w:rsidRPr="00256208">
          <w:rPr>
            <w:rFonts w:ascii="Segoe UI" w:hAnsi="Segoe UI" w:cs="Segoe UI"/>
            <w:noProof/>
            <w:webHidden/>
          </w:rPr>
          <w:fldChar w:fldCharType="begin"/>
        </w:r>
        <w:r w:rsidRPr="00256208">
          <w:rPr>
            <w:rFonts w:ascii="Segoe UI" w:hAnsi="Segoe UI" w:cs="Segoe UI"/>
            <w:noProof/>
            <w:webHidden/>
          </w:rPr>
          <w:instrText xml:space="preserve"> PAGEREF _Toc335721241 \h </w:instrText>
        </w:r>
        <w:r w:rsidRPr="00256208">
          <w:rPr>
            <w:rFonts w:ascii="Segoe UI" w:hAnsi="Segoe UI" w:cs="Segoe UI"/>
            <w:noProof/>
            <w:webHidden/>
          </w:rPr>
        </w:r>
        <w:r w:rsidRPr="00256208">
          <w:rPr>
            <w:rFonts w:ascii="Segoe UI" w:hAnsi="Segoe UI" w:cs="Segoe UI"/>
            <w:noProof/>
            <w:webHidden/>
          </w:rPr>
          <w:fldChar w:fldCharType="separate"/>
        </w:r>
        <w:r w:rsidRPr="00256208">
          <w:rPr>
            <w:rFonts w:ascii="Segoe UI" w:hAnsi="Segoe UI" w:cs="Segoe UI"/>
            <w:noProof/>
            <w:webHidden/>
          </w:rPr>
          <w:t>29</w:t>
        </w:r>
        <w:r w:rsidRPr="00256208">
          <w:rPr>
            <w:rFonts w:ascii="Segoe UI" w:hAnsi="Segoe UI" w:cs="Segoe UI"/>
            <w:noProof/>
            <w:webHidden/>
          </w:rPr>
          <w:fldChar w:fldCharType="end"/>
        </w:r>
      </w:hyperlink>
    </w:p>
    <w:p w:rsidR="00230436" w:rsidRPr="008F7E7C" w:rsidRDefault="005C6388">
      <w:pPr>
        <w:pStyle w:val="TableofFigures"/>
        <w:tabs>
          <w:tab w:val="right" w:leader="dot" w:pos="9350"/>
        </w:tabs>
        <w:rPr>
          <w:rFonts w:ascii="Segoe UI" w:hAnsi="Segoe UI" w:cs="Segoe UI"/>
          <w:noProof/>
        </w:rPr>
      </w:pPr>
      <w:r w:rsidRPr="008F7E7C">
        <w:rPr>
          <w:rFonts w:ascii="Segoe UI" w:hAnsi="Segoe UI" w:cs="Segoe UI"/>
        </w:rPr>
        <w:fldChar w:fldCharType="end"/>
      </w:r>
      <w:r w:rsidR="00E51C11" w:rsidRPr="008F7E7C">
        <w:rPr>
          <w:rFonts w:ascii="Segoe UI" w:hAnsi="Segoe UI" w:cs="Segoe UI"/>
        </w:rPr>
        <w:fldChar w:fldCharType="begin"/>
      </w:r>
      <w:r w:rsidR="00E51C11" w:rsidRPr="008F7E7C">
        <w:rPr>
          <w:rFonts w:ascii="Segoe UI" w:hAnsi="Segoe UI" w:cs="Segoe UI"/>
        </w:rPr>
        <w:instrText xml:space="preserve"> TOC \h \z \c "Table" </w:instrText>
      </w:r>
      <w:r w:rsidR="00E51C11" w:rsidRPr="008F7E7C">
        <w:rPr>
          <w:rFonts w:ascii="Segoe UI" w:hAnsi="Segoe UI" w:cs="Segoe UI"/>
        </w:rPr>
        <w:fldChar w:fldCharType="separate"/>
      </w:r>
    </w:p>
    <w:p w:rsidR="00230436" w:rsidRPr="008F7E7C" w:rsidRDefault="00DD0326">
      <w:pPr>
        <w:pStyle w:val="TableofFigures"/>
        <w:tabs>
          <w:tab w:val="right" w:leader="dot" w:pos="9350"/>
        </w:tabs>
        <w:rPr>
          <w:rFonts w:ascii="Segoe UI" w:hAnsi="Segoe UI" w:cs="Segoe UI"/>
          <w:noProof/>
          <w:sz w:val="22"/>
          <w:szCs w:val="22"/>
        </w:rPr>
      </w:pPr>
      <w:hyperlink w:anchor="_Toc323648723" w:history="1">
        <w:r w:rsidR="00230436" w:rsidRPr="008F7E7C">
          <w:rPr>
            <w:rStyle w:val="Hyperlink"/>
            <w:rFonts w:ascii="Segoe UI" w:hAnsi="Segoe UI" w:cs="Segoe UI"/>
            <w:noProof/>
          </w:rPr>
          <w:t>Table 1: MDS values for Zenith gage (cfs)</w:t>
        </w:r>
        <w:r w:rsidR="00230436" w:rsidRPr="008F7E7C">
          <w:rPr>
            <w:rFonts w:ascii="Segoe UI" w:hAnsi="Segoe UI" w:cs="Segoe UI"/>
            <w:noProof/>
            <w:webHidden/>
          </w:rPr>
          <w:tab/>
        </w:r>
        <w:r w:rsidR="00230436" w:rsidRPr="008F7E7C">
          <w:rPr>
            <w:rFonts w:ascii="Segoe UI" w:hAnsi="Segoe UI" w:cs="Segoe UI"/>
            <w:noProof/>
            <w:webHidden/>
          </w:rPr>
          <w:fldChar w:fldCharType="begin"/>
        </w:r>
        <w:r w:rsidR="00230436" w:rsidRPr="008F7E7C">
          <w:rPr>
            <w:rFonts w:ascii="Segoe UI" w:hAnsi="Segoe UI" w:cs="Segoe UI"/>
            <w:noProof/>
            <w:webHidden/>
          </w:rPr>
          <w:instrText xml:space="preserve"> PAGEREF _Toc323648723 \h </w:instrText>
        </w:r>
        <w:r w:rsidR="00230436" w:rsidRPr="008F7E7C">
          <w:rPr>
            <w:rFonts w:ascii="Segoe UI" w:hAnsi="Segoe UI" w:cs="Segoe UI"/>
            <w:noProof/>
            <w:webHidden/>
          </w:rPr>
        </w:r>
        <w:r w:rsidR="00230436" w:rsidRPr="008F7E7C">
          <w:rPr>
            <w:rFonts w:ascii="Segoe UI" w:hAnsi="Segoe UI" w:cs="Segoe UI"/>
            <w:noProof/>
            <w:webHidden/>
          </w:rPr>
          <w:fldChar w:fldCharType="separate"/>
        </w:r>
        <w:r w:rsidR="008F4332" w:rsidRPr="008F7E7C">
          <w:rPr>
            <w:rFonts w:ascii="Segoe UI" w:hAnsi="Segoe UI" w:cs="Segoe UI"/>
            <w:noProof/>
            <w:webHidden/>
          </w:rPr>
          <w:t>10</w:t>
        </w:r>
        <w:r w:rsidR="00230436" w:rsidRPr="008F7E7C">
          <w:rPr>
            <w:rFonts w:ascii="Segoe UI" w:hAnsi="Segoe UI" w:cs="Segoe UI"/>
            <w:noProof/>
            <w:webHidden/>
          </w:rPr>
          <w:fldChar w:fldCharType="end"/>
        </w:r>
      </w:hyperlink>
    </w:p>
    <w:p w:rsidR="00230436" w:rsidRPr="008F7E7C" w:rsidRDefault="00DD0326">
      <w:pPr>
        <w:pStyle w:val="TableofFigures"/>
        <w:tabs>
          <w:tab w:val="right" w:leader="dot" w:pos="9350"/>
        </w:tabs>
        <w:rPr>
          <w:rFonts w:ascii="Segoe UI" w:hAnsi="Segoe UI" w:cs="Segoe UI"/>
          <w:noProof/>
          <w:sz w:val="22"/>
          <w:szCs w:val="22"/>
        </w:rPr>
      </w:pPr>
      <w:hyperlink w:anchor="_Toc323648724" w:history="1">
        <w:r w:rsidR="00230436" w:rsidRPr="008F7E7C">
          <w:rPr>
            <w:rStyle w:val="Hyperlink"/>
            <w:rFonts w:ascii="Segoe UI" w:hAnsi="Segoe UI" w:cs="Segoe UI"/>
            <w:noProof/>
          </w:rPr>
          <w:t>Table 2: Average water level change by priority area</w:t>
        </w:r>
        <w:r w:rsidR="00230436" w:rsidRPr="008F7E7C">
          <w:rPr>
            <w:rFonts w:ascii="Segoe UI" w:hAnsi="Segoe UI" w:cs="Segoe UI"/>
            <w:noProof/>
            <w:webHidden/>
          </w:rPr>
          <w:tab/>
        </w:r>
        <w:r w:rsidR="00230436" w:rsidRPr="008F7E7C">
          <w:rPr>
            <w:rFonts w:ascii="Segoe UI" w:hAnsi="Segoe UI" w:cs="Segoe UI"/>
            <w:noProof/>
            <w:webHidden/>
          </w:rPr>
          <w:fldChar w:fldCharType="begin"/>
        </w:r>
        <w:r w:rsidR="00230436" w:rsidRPr="008F7E7C">
          <w:rPr>
            <w:rFonts w:ascii="Segoe UI" w:hAnsi="Segoe UI" w:cs="Segoe UI"/>
            <w:noProof/>
            <w:webHidden/>
          </w:rPr>
          <w:instrText xml:space="preserve"> PAGEREF _Toc323648724 \h </w:instrText>
        </w:r>
        <w:r w:rsidR="00230436" w:rsidRPr="008F7E7C">
          <w:rPr>
            <w:rFonts w:ascii="Segoe UI" w:hAnsi="Segoe UI" w:cs="Segoe UI"/>
            <w:noProof/>
            <w:webHidden/>
          </w:rPr>
        </w:r>
        <w:r w:rsidR="00230436" w:rsidRPr="008F7E7C">
          <w:rPr>
            <w:rFonts w:ascii="Segoe UI" w:hAnsi="Segoe UI" w:cs="Segoe UI"/>
            <w:noProof/>
            <w:webHidden/>
          </w:rPr>
          <w:fldChar w:fldCharType="separate"/>
        </w:r>
        <w:r w:rsidR="008F4332" w:rsidRPr="008F7E7C">
          <w:rPr>
            <w:rFonts w:ascii="Segoe UI" w:hAnsi="Segoe UI" w:cs="Segoe UI"/>
            <w:noProof/>
            <w:webHidden/>
          </w:rPr>
          <w:t>12</w:t>
        </w:r>
        <w:r w:rsidR="00230436" w:rsidRPr="008F7E7C">
          <w:rPr>
            <w:rFonts w:ascii="Segoe UI" w:hAnsi="Segoe UI" w:cs="Segoe UI"/>
            <w:noProof/>
            <w:webHidden/>
          </w:rPr>
          <w:fldChar w:fldCharType="end"/>
        </w:r>
      </w:hyperlink>
    </w:p>
    <w:p w:rsidR="00230436" w:rsidRPr="008F7E7C" w:rsidRDefault="00DD0326">
      <w:pPr>
        <w:pStyle w:val="TableofFigures"/>
        <w:tabs>
          <w:tab w:val="right" w:leader="dot" w:pos="9350"/>
        </w:tabs>
        <w:rPr>
          <w:rFonts w:ascii="Segoe UI" w:hAnsi="Segoe UI" w:cs="Segoe UI"/>
          <w:noProof/>
          <w:sz w:val="22"/>
          <w:szCs w:val="22"/>
        </w:rPr>
      </w:pPr>
      <w:hyperlink w:anchor="_Toc323648725" w:history="1">
        <w:r w:rsidR="00230436" w:rsidRPr="008F7E7C">
          <w:rPr>
            <w:rStyle w:val="Hyperlink"/>
            <w:rFonts w:ascii="Segoe UI" w:hAnsi="Segoe UI" w:cs="Segoe UI"/>
            <w:noProof/>
          </w:rPr>
          <w:t>Table 3: Summary of Estimated Water Conservation (*denotes short-term savings)</w:t>
        </w:r>
        <w:r w:rsidR="00230436" w:rsidRPr="008F7E7C">
          <w:rPr>
            <w:rFonts w:ascii="Segoe UI" w:hAnsi="Segoe UI" w:cs="Segoe UI"/>
            <w:noProof/>
            <w:webHidden/>
          </w:rPr>
          <w:tab/>
        </w:r>
        <w:r w:rsidR="00230436" w:rsidRPr="008F7E7C">
          <w:rPr>
            <w:rFonts w:ascii="Segoe UI" w:hAnsi="Segoe UI" w:cs="Segoe UI"/>
            <w:noProof/>
            <w:webHidden/>
          </w:rPr>
          <w:fldChar w:fldCharType="begin"/>
        </w:r>
        <w:r w:rsidR="00230436" w:rsidRPr="008F7E7C">
          <w:rPr>
            <w:rFonts w:ascii="Segoe UI" w:hAnsi="Segoe UI" w:cs="Segoe UI"/>
            <w:noProof/>
            <w:webHidden/>
          </w:rPr>
          <w:instrText xml:space="preserve"> PAGEREF _Toc323648725 \h </w:instrText>
        </w:r>
        <w:r w:rsidR="00230436" w:rsidRPr="008F7E7C">
          <w:rPr>
            <w:rFonts w:ascii="Segoe UI" w:hAnsi="Segoe UI" w:cs="Segoe UI"/>
            <w:noProof/>
            <w:webHidden/>
          </w:rPr>
        </w:r>
        <w:r w:rsidR="00230436" w:rsidRPr="008F7E7C">
          <w:rPr>
            <w:rFonts w:ascii="Segoe UI" w:hAnsi="Segoe UI" w:cs="Segoe UI"/>
            <w:noProof/>
            <w:webHidden/>
          </w:rPr>
          <w:fldChar w:fldCharType="separate"/>
        </w:r>
        <w:r w:rsidR="008F4332" w:rsidRPr="008F7E7C">
          <w:rPr>
            <w:rFonts w:ascii="Segoe UI" w:hAnsi="Segoe UI" w:cs="Segoe UI"/>
            <w:noProof/>
            <w:webHidden/>
          </w:rPr>
          <w:t>31</w:t>
        </w:r>
        <w:r w:rsidR="00230436" w:rsidRPr="008F7E7C">
          <w:rPr>
            <w:rFonts w:ascii="Segoe UI" w:hAnsi="Segoe UI" w:cs="Segoe UI"/>
            <w:noProof/>
            <w:webHidden/>
          </w:rPr>
          <w:fldChar w:fldCharType="end"/>
        </w:r>
      </w:hyperlink>
    </w:p>
    <w:p w:rsidR="00230436" w:rsidRPr="008F7E7C" w:rsidRDefault="00DD0326">
      <w:pPr>
        <w:pStyle w:val="TableofFigures"/>
        <w:tabs>
          <w:tab w:val="right" w:leader="dot" w:pos="9350"/>
        </w:tabs>
        <w:rPr>
          <w:rFonts w:ascii="Segoe UI" w:hAnsi="Segoe UI" w:cs="Segoe UI"/>
          <w:noProof/>
          <w:sz w:val="22"/>
          <w:szCs w:val="22"/>
        </w:rPr>
      </w:pPr>
      <w:hyperlink w:anchor="_Toc323648726" w:history="1">
        <w:r w:rsidR="00230436" w:rsidRPr="008F7E7C">
          <w:rPr>
            <w:rStyle w:val="Hyperlink"/>
            <w:rFonts w:ascii="Segoe UI" w:hAnsi="Segoe UI" w:cs="Segoe UI"/>
            <w:noProof/>
          </w:rPr>
          <w:t>Table 4: Summary of Progress</w:t>
        </w:r>
        <w:r w:rsidR="00230436" w:rsidRPr="008F7E7C">
          <w:rPr>
            <w:rFonts w:ascii="Segoe UI" w:hAnsi="Segoe UI" w:cs="Segoe UI"/>
            <w:noProof/>
            <w:webHidden/>
          </w:rPr>
          <w:tab/>
        </w:r>
        <w:r w:rsidR="00230436" w:rsidRPr="008F7E7C">
          <w:rPr>
            <w:rFonts w:ascii="Segoe UI" w:hAnsi="Segoe UI" w:cs="Segoe UI"/>
            <w:noProof/>
            <w:webHidden/>
          </w:rPr>
          <w:fldChar w:fldCharType="begin"/>
        </w:r>
        <w:r w:rsidR="00230436" w:rsidRPr="008F7E7C">
          <w:rPr>
            <w:rFonts w:ascii="Segoe UI" w:hAnsi="Segoe UI" w:cs="Segoe UI"/>
            <w:noProof/>
            <w:webHidden/>
          </w:rPr>
          <w:instrText xml:space="preserve"> PAGEREF _Toc323648726 \h </w:instrText>
        </w:r>
        <w:r w:rsidR="00230436" w:rsidRPr="008F7E7C">
          <w:rPr>
            <w:rFonts w:ascii="Segoe UI" w:hAnsi="Segoe UI" w:cs="Segoe UI"/>
            <w:noProof/>
            <w:webHidden/>
          </w:rPr>
        </w:r>
        <w:r w:rsidR="00230436" w:rsidRPr="008F7E7C">
          <w:rPr>
            <w:rFonts w:ascii="Segoe UI" w:hAnsi="Segoe UI" w:cs="Segoe UI"/>
            <w:noProof/>
            <w:webHidden/>
          </w:rPr>
          <w:fldChar w:fldCharType="separate"/>
        </w:r>
        <w:r w:rsidR="008F4332" w:rsidRPr="008F7E7C">
          <w:rPr>
            <w:rFonts w:ascii="Segoe UI" w:hAnsi="Segoe UI" w:cs="Segoe UI"/>
            <w:noProof/>
            <w:webHidden/>
          </w:rPr>
          <w:t>32</w:t>
        </w:r>
        <w:r w:rsidR="00230436" w:rsidRPr="008F7E7C">
          <w:rPr>
            <w:rFonts w:ascii="Segoe UI" w:hAnsi="Segoe UI" w:cs="Segoe UI"/>
            <w:noProof/>
            <w:webHidden/>
          </w:rPr>
          <w:fldChar w:fldCharType="end"/>
        </w:r>
      </w:hyperlink>
    </w:p>
    <w:p w:rsidR="00491EEB" w:rsidRPr="00230436" w:rsidRDefault="00E51C11" w:rsidP="00491EEB">
      <w:pPr>
        <w:pStyle w:val="TableofFigures"/>
        <w:tabs>
          <w:tab w:val="right" w:leader="dot" w:pos="9350"/>
        </w:tabs>
        <w:rPr>
          <w:rFonts w:ascii="Segoe UI" w:hAnsi="Segoe UI" w:cs="Segoe UI"/>
        </w:rPr>
      </w:pPr>
      <w:r w:rsidRPr="008F7E7C">
        <w:rPr>
          <w:rFonts w:ascii="Segoe UI" w:hAnsi="Segoe UI" w:cs="Segoe UI"/>
        </w:rPr>
        <w:fldChar w:fldCharType="end"/>
      </w:r>
      <w:r w:rsidR="00491EEB" w:rsidRPr="00230436">
        <w:rPr>
          <w:rFonts w:ascii="Segoe UI" w:hAnsi="Segoe UI" w:cs="Segoe UI"/>
        </w:rPr>
        <w:t xml:space="preserve"> </w:t>
      </w:r>
    </w:p>
    <w:p w:rsidR="00C5167C" w:rsidRDefault="008C3B49" w:rsidP="00491EEB">
      <w:pPr>
        <w:pStyle w:val="Heading3"/>
        <w:rPr>
          <w:rFonts w:ascii="Segoe UI" w:hAnsi="Segoe UI" w:cs="Segoe UI"/>
          <w:sz w:val="32"/>
          <w:szCs w:val="32"/>
        </w:rPr>
      </w:pPr>
      <w:bookmarkStart w:id="1" w:name="_Toc203292989"/>
      <w:bookmarkStart w:id="2" w:name="_Toc204755631"/>
      <w:bookmarkStart w:id="3" w:name="_Toc204999316"/>
      <w:bookmarkStart w:id="4" w:name="_Toc205785420"/>
      <w:bookmarkStart w:id="5" w:name="_Toc206232978"/>
      <w:bookmarkStart w:id="6" w:name="_Toc206315142"/>
      <w:bookmarkStart w:id="7" w:name="_Toc209328620"/>
      <w:bookmarkStart w:id="8" w:name="_Toc209410819"/>
      <w:bookmarkStart w:id="9" w:name="_Toc212537845"/>
      <w:bookmarkStart w:id="10" w:name="_Toc213563378"/>
      <w:bookmarkStart w:id="11" w:name="_Toc213563379"/>
      <w:bookmarkStart w:id="12" w:name="_Toc214078761"/>
      <w:bookmarkStart w:id="13" w:name="_Toc214668880"/>
      <w:bookmarkStart w:id="14" w:name="_Toc214669759"/>
      <w:bookmarkStart w:id="15" w:name="_Toc216064963"/>
      <w:bookmarkStart w:id="16" w:name="_Toc217893137"/>
      <w:bookmarkStart w:id="17" w:name="_Toc218477653"/>
      <w:bookmarkStart w:id="18" w:name="_Toc218477763"/>
      <w:r w:rsidRPr="007F25A3">
        <w:rPr>
          <w:rFonts w:ascii="Segoe UI" w:hAnsi="Segoe UI" w:cs="Segoe UI"/>
        </w:rPr>
        <w:br w:type="page"/>
      </w:r>
      <w:bookmarkStart w:id="19" w:name="_Toc334007505"/>
      <w:r w:rsidR="00C5167C" w:rsidRPr="00BA0915">
        <w:rPr>
          <w:rFonts w:ascii="Segoe UI" w:hAnsi="Segoe UI" w:cs="Segoe UI"/>
          <w:sz w:val="32"/>
          <w:szCs w:val="32"/>
        </w:rPr>
        <w:lastRenderedPageBreak/>
        <w:t>Executive Summary</w:t>
      </w:r>
      <w:bookmarkEnd w:id="19"/>
    </w:p>
    <w:p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 xml:space="preserve">The subbasin’s variable hydrology, characterized by sequences of dry years with low streamflow and </w:t>
      </w:r>
      <w:r w:rsidR="00CB1422">
        <w:rPr>
          <w:rFonts w:ascii="Segoe UI" w:hAnsi="Segoe UI" w:cs="Segoe UI"/>
        </w:rPr>
        <w:t>over-</w:t>
      </w:r>
      <w:r w:rsidRPr="00BA0915">
        <w:rPr>
          <w:rFonts w:ascii="Segoe UI" w:hAnsi="Segoe UI" w:cs="Segoe UI"/>
        </w:rPr>
        <w:t>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4053D3" w:rsidRDefault="004053D3" w:rsidP="00BA0915">
      <w:pPr>
        <w:rPr>
          <w:rFonts w:ascii="Segoe UI" w:hAnsi="Segoe UI" w:cs="Segoe UI"/>
        </w:rPr>
      </w:pPr>
    </w:p>
    <w:p w:rsidR="00C5167C" w:rsidRPr="00BA0915" w:rsidRDefault="004053D3" w:rsidP="00BA0915">
      <w:pPr>
        <w:rPr>
          <w:rFonts w:ascii="Segoe UI" w:hAnsi="Segoe UI" w:cs="Segoe UI"/>
        </w:rPr>
      </w:pPr>
      <w:r w:rsidRPr="00BA0915">
        <w:rPr>
          <w:rFonts w:ascii="Segoe UI" w:hAnsi="Segoe UI" w:cs="Segoe UI"/>
        </w:rPr>
        <w:t>The record</w:t>
      </w:r>
      <w:r w:rsidR="00B34055">
        <w:rPr>
          <w:rFonts w:ascii="Segoe UI" w:hAnsi="Segoe UI" w:cs="Segoe UI"/>
        </w:rPr>
        <w:t xml:space="preserve"> </w:t>
      </w:r>
      <w:r w:rsidRPr="00BA0915">
        <w:rPr>
          <w:rFonts w:ascii="Segoe UI" w:hAnsi="Segoe UI" w:cs="Segoe UI"/>
        </w:rPr>
        <w:t>shows</w:t>
      </w:r>
      <w:r w:rsidR="00B34055">
        <w:rPr>
          <w:rFonts w:ascii="Segoe UI" w:hAnsi="Segoe UI" w:cs="Segoe UI"/>
        </w:rPr>
        <w:t xml:space="preserve"> </w:t>
      </w:r>
      <w:r w:rsidRPr="00BA0915">
        <w:rPr>
          <w:rFonts w:ascii="Segoe UI" w:hAnsi="Segoe UI" w:cs="Segoe UI"/>
        </w:rPr>
        <w:t xml:space="preserve">declines in groundwater levels in the western portion of the subbasin and </w:t>
      </w:r>
      <w:r w:rsidR="003A38D4">
        <w:rPr>
          <w:rFonts w:ascii="Segoe UI" w:hAnsi="Segoe UI" w:cs="Segoe UI"/>
        </w:rPr>
        <w:t>a downward 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r w:rsidR="00AE466A">
        <w:rPr>
          <w:rFonts w:ascii="Segoe UI" w:hAnsi="Segoe UI" w:cs="Segoe UI"/>
        </w:rPr>
        <w:t>Since the Program began in 2000, limited</w:t>
      </w:r>
      <w:r w:rsidR="006305C5">
        <w:rPr>
          <w:rFonts w:ascii="Segoe UI" w:hAnsi="Segoe UI" w:cs="Segoe UI"/>
        </w:rPr>
        <w:t xml:space="preserve"> </w:t>
      </w:r>
      <w:r w:rsidR="0035374B" w:rsidRPr="00BA0915">
        <w:rPr>
          <w:rFonts w:ascii="Segoe UI" w:hAnsi="Segoe UI" w:cs="Segoe UI"/>
        </w:rPr>
        <w:t xml:space="preserve">reduction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less than the goal of 27,346 acre-feet of savings laid out by the Partnership in the Program.  There has been no significant reduction in irrigated acres and the amount of irrigation water applied per acre has remained generally constant when factoring in the effects of precipitation</w:t>
      </w:r>
      <w:r w:rsidR="006305C5">
        <w:rPr>
          <w:rFonts w:ascii="Segoe UI" w:hAnsi="Segoe UI" w:cs="Segoe UI"/>
        </w:rPr>
        <w:t>.</w:t>
      </w:r>
    </w:p>
    <w:p w:rsidR="0035374B" w:rsidRDefault="0035374B" w:rsidP="0035374B">
      <w:pPr>
        <w:rPr>
          <w:rFonts w:ascii="Segoe UI" w:hAnsi="Segoe UI" w:cs="Segoe UI"/>
        </w:rPr>
      </w:pPr>
    </w:p>
    <w:p w:rsidR="00120ADA" w:rsidRDefault="00120ADA" w:rsidP="00120ADA">
      <w:pPr>
        <w:rPr>
          <w:rFonts w:ascii="Segoe UI" w:hAnsi="Segoe UI" w:cs="Segoe UI"/>
        </w:rPr>
      </w:pPr>
      <w:r>
        <w:rPr>
          <w:rFonts w:ascii="Segoe UI" w:hAnsi="Segoe UI" w:cs="Segoe UI"/>
        </w:rPr>
        <w:t xml:space="preserve">At the end of </w:t>
      </w:r>
      <w:r w:rsidR="006A68DE">
        <w:rPr>
          <w:rFonts w:ascii="Segoe UI" w:hAnsi="Segoe UI" w:cs="Segoe UI"/>
        </w:rPr>
        <w:t>the</w:t>
      </w:r>
      <w:r>
        <w:rPr>
          <w:rFonts w:ascii="Segoe UI" w:hAnsi="Segoe UI" w:cs="Segoe UI"/>
        </w:rPr>
        <w:t xml:space="preserve"> 12-year implementation period the Partnership finds that the Program</w:t>
      </w:r>
      <w:r w:rsidRPr="00BA0915">
        <w:rPr>
          <w:rFonts w:ascii="Segoe UI" w:hAnsi="Segoe UI" w:cs="Segoe UI"/>
        </w:rPr>
        <w:t xml:space="preserve"> has been successful in part and unsuccessful in part when considered against </w:t>
      </w:r>
      <w:r>
        <w:rPr>
          <w:rFonts w:ascii="Segoe UI" w:hAnsi="Segoe UI" w:cs="Segoe UI"/>
        </w:rPr>
        <w:t>its</w:t>
      </w:r>
      <w:r w:rsidRPr="00BA0915">
        <w:rPr>
          <w:rFonts w:ascii="Segoe UI" w:hAnsi="Segoe UI" w:cs="Segoe UI"/>
        </w:rPr>
        <w:t xml:space="preserve"> originally stated purpose, goals, and objectives to address streamflow depletions and declines in groundwater levels.</w:t>
      </w:r>
      <w:r w:rsidR="00B34055">
        <w:rPr>
          <w:rFonts w:ascii="Segoe UI" w:hAnsi="Segoe UI" w:cs="Segoe UI"/>
        </w:rPr>
        <w:t xml:space="preserve">  The program was not designed to address the individual interests of the partners, but to address the status of the overall basin.</w:t>
      </w:r>
    </w:p>
    <w:p w:rsidR="00120ADA" w:rsidRDefault="00120ADA" w:rsidP="00120ADA">
      <w:pPr>
        <w:rPr>
          <w:rFonts w:ascii="Segoe UI" w:hAnsi="Segoe UI" w:cs="Segoe UI"/>
        </w:rPr>
      </w:pPr>
    </w:p>
    <w:p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p>
    <w:p w:rsidR="00CB5BF1" w:rsidRPr="007F25A3" w:rsidRDefault="0037336D" w:rsidP="005C6388">
      <w:pPr>
        <w:pStyle w:val="Heading1"/>
        <w:rPr>
          <w:rFonts w:ascii="Segoe UI" w:hAnsi="Segoe UI" w:cs="Segoe UI"/>
        </w:rPr>
      </w:pPr>
      <w:bookmarkStart w:id="20" w:name="_Toc334007506"/>
      <w:r w:rsidRPr="007F25A3">
        <w:rPr>
          <w:rFonts w:ascii="Segoe UI" w:hAnsi="Segoe UI" w:cs="Segoe UI"/>
        </w:rPr>
        <w:t>I. 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p>
    <w:p w:rsidR="0037336D" w:rsidRPr="007F25A3" w:rsidRDefault="0037336D" w:rsidP="0037336D">
      <w:pPr>
        <w:rPr>
          <w:rFonts w:ascii="Segoe UI" w:hAnsi="Segoe UI" w:cs="Segoe UI"/>
        </w:rPr>
      </w:pPr>
      <w:r w:rsidRPr="007F25A3">
        <w:rPr>
          <w:rFonts w:ascii="Segoe UI" w:hAnsi="Segoe UI" w:cs="Segoe UI"/>
        </w:rPr>
        <w:t xml:space="preserve">In 1993, the Rattlesnake Creek Subbasin Partnership formed to cooperatively develop and implement water resource solutions.  The partners agreed to use a community involvement approach as the guiding principle to address the water resource concerns within the subbasin.  The Partnership includes Big Bend Groundwater Management District No. 5 (GMD 5), Water Protection Association of Central Kansas (Water PACK), </w:t>
      </w:r>
      <w:r w:rsidRPr="007F25A3">
        <w:rPr>
          <w:rFonts w:ascii="Segoe UI" w:hAnsi="Segoe UI" w:cs="Segoe UI"/>
        </w:rPr>
        <w:lastRenderedPageBreak/>
        <w:t>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rsidR="0037336D" w:rsidRPr="007F25A3" w:rsidRDefault="0037336D" w:rsidP="0037336D">
      <w:pPr>
        <w:rPr>
          <w:rFonts w:ascii="Segoe UI" w:hAnsi="Segoe UI" w:cs="Segoe UI"/>
        </w:rPr>
      </w:pPr>
    </w:p>
    <w:p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rsidR="0037336D" w:rsidRPr="007F25A3" w:rsidRDefault="0037336D" w:rsidP="0037336D">
      <w:pPr>
        <w:rPr>
          <w:rFonts w:ascii="Segoe UI" w:hAnsi="Segoe UI" w:cs="Segoe UI"/>
        </w:rPr>
      </w:pPr>
    </w:p>
    <w:p w:rsidR="00875250" w:rsidRDefault="0049481E" w:rsidP="0037336D">
      <w:pPr>
        <w:rPr>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w:t>
      </w:r>
    </w:p>
    <w:p w:rsidR="00875250" w:rsidRDefault="00875250" w:rsidP="0037336D">
      <w:pPr>
        <w:rPr>
          <w:rFonts w:ascii="Segoe UI" w:hAnsi="Segoe UI" w:cs="Segoe UI"/>
        </w:rPr>
      </w:pPr>
    </w:p>
    <w:p w:rsidR="0037336D" w:rsidRDefault="00116DDE" w:rsidP="0037336D">
      <w:pPr>
        <w:rPr>
          <w:rFonts w:ascii="Segoe UI" w:hAnsi="Segoe UI" w:cs="Segoe UI"/>
        </w:rPr>
      </w:pPr>
      <w:r w:rsidRPr="007F25A3">
        <w:rPr>
          <w:rFonts w:ascii="Segoe UI" w:hAnsi="Segoe UI" w:cs="Segoe UI"/>
        </w:rPr>
        <w:t xml:space="preserve">The first review was completed in </w:t>
      </w:r>
      <w:r w:rsidR="002F3673" w:rsidRPr="007F25A3">
        <w:rPr>
          <w:rFonts w:ascii="Segoe UI" w:hAnsi="Segoe UI" w:cs="Segoe UI"/>
        </w:rPr>
        <w:t xml:space="preserve">August, </w:t>
      </w:r>
      <w:r w:rsidRPr="007F25A3">
        <w:rPr>
          <w:rFonts w:ascii="Segoe UI" w:hAnsi="Segoe UI" w:cs="Segoe UI"/>
        </w:rPr>
        <w:t>2004.  At that time an addendum</w:t>
      </w:r>
      <w:r w:rsidR="0049481E" w:rsidRPr="007F25A3">
        <w:rPr>
          <w:rFonts w:ascii="Segoe UI" w:hAnsi="Segoe UI" w:cs="Segoe UI"/>
        </w:rPr>
        <w:t>,</w:t>
      </w:r>
      <w:r w:rsidRPr="007F25A3">
        <w:rPr>
          <w:rFonts w:ascii="Segoe UI" w:hAnsi="Segoe UI" w:cs="Segoe UI"/>
        </w:rPr>
        <w:t xml:space="preserve"> </w:t>
      </w:r>
      <w:r w:rsidR="00463543" w:rsidRPr="007F25A3">
        <w:rPr>
          <w:rFonts w:ascii="Segoe UI" w:hAnsi="Segoe UI" w:cs="Segoe UI"/>
        </w:rPr>
        <w:t>list</w:t>
      </w:r>
      <w:r w:rsidR="0049481E"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0049481E"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0049481E"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rsidR="0060018C" w:rsidRDefault="0060018C" w:rsidP="0037336D">
      <w:pPr>
        <w:rPr>
          <w:rFonts w:ascii="Segoe UI" w:hAnsi="Segoe UI" w:cs="Segoe UI"/>
        </w:rPr>
      </w:pPr>
    </w:p>
    <w:p w:rsidR="0060018C" w:rsidRDefault="0060018C" w:rsidP="0037336D">
      <w:pPr>
        <w:rPr>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  GMD5 and Water</w:t>
      </w:r>
      <w:r w:rsidR="00922356">
        <w:rPr>
          <w:rFonts w:ascii="Segoe UI" w:hAnsi="Segoe UI" w:cs="Segoe UI"/>
        </w:rPr>
        <w:t xml:space="preserve"> </w:t>
      </w:r>
      <w:r>
        <w:rPr>
          <w:rFonts w:ascii="Segoe UI" w:hAnsi="Segoe UI" w:cs="Segoe UI"/>
        </w:rPr>
        <w:t>PACK, chose not to sign the review</w:t>
      </w:r>
      <w:r w:rsidR="006A68DE">
        <w:rPr>
          <w:rFonts w:ascii="Segoe UI" w:hAnsi="Segoe UI" w:cs="Segoe UI"/>
        </w:rPr>
        <w:t>, even though</w:t>
      </w:r>
      <w:r>
        <w:rPr>
          <w:rFonts w:ascii="Segoe UI" w:hAnsi="Segoe UI" w:cs="Segoe UI"/>
        </w:rPr>
        <w:t xml:space="preserve">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rsidR="000C3272" w:rsidRDefault="000C3272" w:rsidP="0037336D">
      <w:pPr>
        <w:rPr>
          <w:rFonts w:ascii="Segoe UI" w:hAnsi="Segoe UI" w:cs="Segoe UI"/>
        </w:rPr>
      </w:pPr>
    </w:p>
    <w:p w:rsidR="000C3272" w:rsidRDefault="000C3272" w:rsidP="0037336D">
      <w:pPr>
        <w:rPr>
          <w:rFonts w:ascii="Segoe UI" w:hAnsi="Segoe UI" w:cs="Segoe UI"/>
        </w:rPr>
      </w:pPr>
      <w:r>
        <w:rPr>
          <w:rFonts w:ascii="Segoe UI" w:hAnsi="Segoe UI" w:cs="Segoe UI"/>
        </w:rPr>
        <w:t xml:space="preserve">During the third-review period, GMD5 with participation of the other </w:t>
      </w:r>
      <w:r w:rsidR="00052F5A">
        <w:rPr>
          <w:rFonts w:ascii="Segoe UI" w:hAnsi="Segoe UI" w:cs="Segoe UI"/>
        </w:rPr>
        <w:t>partners</w:t>
      </w:r>
      <w:r>
        <w:rPr>
          <w:rFonts w:ascii="Segoe UI" w:hAnsi="Segoe UI" w:cs="Segoe UI"/>
        </w:rPr>
        <w:t xml:space="preserve"> developed a quantitative </w:t>
      </w:r>
      <w:r w:rsidR="00052F5A">
        <w:rPr>
          <w:rFonts w:ascii="Segoe UI" w:hAnsi="Segoe UI" w:cs="Segoe UI"/>
        </w:rPr>
        <w:t>hydrogeological</w:t>
      </w:r>
      <w:r>
        <w:rPr>
          <w:rFonts w:ascii="Segoe UI" w:hAnsi="Segoe UI" w:cs="Segoe UI"/>
        </w:rPr>
        <w:t xml:space="preserve"> model of the basin.  </w:t>
      </w:r>
    </w:p>
    <w:p w:rsidR="004F6889" w:rsidRPr="007F25A3" w:rsidRDefault="004F6889" w:rsidP="004F6889">
      <w:pPr>
        <w:pStyle w:val="Heading1"/>
        <w:rPr>
          <w:rFonts w:ascii="Segoe UI" w:hAnsi="Segoe UI" w:cs="Segoe UI"/>
        </w:rPr>
      </w:pPr>
      <w:bookmarkStart w:id="21" w:name="_Toc213563380"/>
      <w:bookmarkStart w:id="22" w:name="_Toc334007507"/>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21"/>
      <w:bookmarkEnd w:id="22"/>
    </w:p>
    <w:p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w:t>
      </w:r>
      <w:r w:rsidRPr="007F25A3">
        <w:rPr>
          <w:rFonts w:ascii="Segoe UI" w:hAnsi="Segoe UI" w:cs="Segoe UI"/>
        </w:rPr>
        <w:lastRenderedPageBreak/>
        <w:t xml:space="preserve">of each specific management strategy will occur to determine the effectiveness and if improvements are necessary to meet long-term goals.  </w:t>
      </w:r>
    </w:p>
    <w:p w:rsidR="00E11ED4" w:rsidRPr="007F25A3" w:rsidRDefault="00E11ED4" w:rsidP="004F6889">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Each four-year review evaluation is to include at least the following criteria</w:t>
      </w:r>
      <w:r w:rsidR="00CD63DE" w:rsidRPr="007F25A3">
        <w:rPr>
          <w:rFonts w:ascii="Segoe UI" w:hAnsi="Segoe UI" w:cs="Segoe UI"/>
        </w:rPr>
        <w:t xml:space="preserve"> (see referenced section </w:t>
      </w:r>
      <w:r w:rsidR="00D75C4F" w:rsidRPr="007F25A3">
        <w:rPr>
          <w:rFonts w:ascii="Segoe UI" w:hAnsi="Segoe UI" w:cs="Segoe UI"/>
        </w:rPr>
        <w:t>of this document in parentheses that addresses each objective):</w:t>
      </w:r>
    </w:p>
    <w:p w:rsidR="00443753" w:rsidRPr="007F25A3" w:rsidRDefault="00443753" w:rsidP="00443753">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922356">
        <w:rPr>
          <w:rFonts w:ascii="Segoe UI" w:hAnsi="Segoe UI" w:cs="Segoe UI"/>
        </w:rPr>
        <w:t xml:space="preserve"> (Section VII</w:t>
      </w:r>
      <w:r w:rsidR="00651CD0" w:rsidRPr="007F25A3">
        <w:rPr>
          <w:rFonts w:ascii="Segoe UI" w:hAnsi="Segoe UI" w:cs="Segoe UI"/>
        </w:rPr>
        <w:t xml:space="preserve"> pg. </w:t>
      </w:r>
      <w:r w:rsidR="00922356">
        <w:rPr>
          <w:rFonts w:ascii="Segoe UI" w:hAnsi="Segoe UI" w:cs="Segoe UI"/>
        </w:rPr>
        <w:t>19</w:t>
      </w:r>
      <w:r w:rsidR="00651CD0" w:rsidRPr="007F25A3">
        <w:rPr>
          <w:rFonts w:ascii="Segoe UI" w:hAnsi="Segoe UI" w:cs="Segoe UI"/>
        </w:rPr>
        <w:t>).</w:t>
      </w:r>
    </w:p>
    <w:p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(Section </w:t>
      </w:r>
      <w:r w:rsidR="00805951">
        <w:rPr>
          <w:rFonts w:ascii="Segoe UI" w:hAnsi="Segoe UI" w:cs="Segoe UI"/>
        </w:rPr>
        <w:t>VII</w:t>
      </w:r>
      <w:r w:rsidR="00651CD0" w:rsidRPr="007F25A3">
        <w:rPr>
          <w:rFonts w:ascii="Segoe UI" w:hAnsi="Segoe UI" w:cs="Segoe UI"/>
        </w:rPr>
        <w:t xml:space="preserve"> pg. </w:t>
      </w:r>
      <w:r w:rsidR="00805951">
        <w:rPr>
          <w:rFonts w:ascii="Segoe UI" w:hAnsi="Segoe UI" w:cs="Segoe UI"/>
        </w:rPr>
        <w:t>19</w:t>
      </w:r>
      <w:r w:rsidR="00651CD0" w:rsidRPr="007F25A3">
        <w:rPr>
          <w:rFonts w:ascii="Segoe UI" w:hAnsi="Segoe UI" w:cs="Segoe UI"/>
        </w:rPr>
        <w:t xml:space="preserve">). </w:t>
      </w:r>
      <w:r w:rsidRPr="007F25A3">
        <w:rPr>
          <w:rFonts w:ascii="Segoe UI" w:hAnsi="Segoe UI" w:cs="Segoe UI"/>
        </w:rPr>
        <w:t xml:space="preserve"> </w:t>
      </w:r>
    </w:p>
    <w:p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 xml:space="preserve">area </w:t>
      </w:r>
      <w:r w:rsidR="00651CD0" w:rsidRPr="007F25A3">
        <w:rPr>
          <w:rFonts w:ascii="Segoe UI" w:hAnsi="Segoe UI" w:cs="Segoe UI"/>
        </w:rPr>
        <w:t xml:space="preserve">(Section </w:t>
      </w:r>
      <w:r w:rsidR="00805951">
        <w:rPr>
          <w:rFonts w:ascii="Segoe UI" w:hAnsi="Segoe UI" w:cs="Segoe UI"/>
        </w:rPr>
        <w:t>VII pg</w:t>
      </w:r>
      <w:r w:rsidR="00651CD0" w:rsidRPr="007F25A3">
        <w:rPr>
          <w:rFonts w:ascii="Segoe UI" w:hAnsi="Segoe UI" w:cs="Segoe UI"/>
        </w:rPr>
        <w:t>.</w:t>
      </w:r>
      <w:r w:rsidR="00805951">
        <w:rPr>
          <w:rFonts w:ascii="Segoe UI" w:hAnsi="Segoe UI" w:cs="Segoe UI"/>
        </w:rPr>
        <w:t xml:space="preserve"> 19</w:t>
      </w:r>
      <w:r w:rsidR="00651CD0" w:rsidRPr="007F25A3">
        <w:rPr>
          <w:rFonts w:ascii="Segoe UI" w:hAnsi="Segoe UI" w:cs="Segoe UI"/>
        </w:rPr>
        <w:t>)</w:t>
      </w:r>
      <w:r w:rsidR="00105E72"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w:t>
      </w:r>
      <w:r w:rsidRPr="007F25A3">
        <w:rPr>
          <w:rFonts w:ascii="Segoe UI" w:hAnsi="Segoe UI" w:cs="Segoe UI"/>
        </w:rPr>
        <w:t>pg</w:t>
      </w:r>
      <w:r w:rsidR="00805951">
        <w:rPr>
          <w:rFonts w:ascii="Segoe UI" w:hAnsi="Segoe UI" w:cs="Segoe UI"/>
        </w:rPr>
        <w:t>. 19</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5. Stabilize water levels in high decline areas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pg</w:t>
      </w:r>
      <w:r w:rsidRPr="007F25A3">
        <w:rPr>
          <w:rFonts w:ascii="Segoe UI" w:hAnsi="Segoe UI" w:cs="Segoe UI"/>
        </w:rPr>
        <w:t xml:space="preserve">. </w:t>
      </w:r>
      <w:r w:rsidR="00805951">
        <w:rPr>
          <w:rFonts w:ascii="Segoe UI" w:hAnsi="Segoe UI" w:cs="Segoe UI"/>
        </w:rPr>
        <w:t>20</w:t>
      </w:r>
      <w:r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(Section </w:t>
      </w:r>
      <w:r w:rsidR="00805951">
        <w:rPr>
          <w:rFonts w:ascii="Segoe UI" w:hAnsi="Segoe UI" w:cs="Segoe UI"/>
        </w:rPr>
        <w:t>V</w:t>
      </w:r>
      <w:r w:rsidRPr="007F25A3">
        <w:rPr>
          <w:rFonts w:ascii="Segoe UI" w:hAnsi="Segoe UI" w:cs="Segoe UI"/>
        </w:rPr>
        <w:t xml:space="preserve">II pg. </w:t>
      </w:r>
      <w:r w:rsidR="00805951">
        <w:rPr>
          <w:rFonts w:ascii="Segoe UI" w:hAnsi="Segoe UI" w:cs="Segoe UI"/>
        </w:rPr>
        <w:t>20</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 (Section IV pgs. 8</w:t>
      </w:r>
      <w:r w:rsidRPr="007F25A3">
        <w:rPr>
          <w:rFonts w:ascii="Segoe UI" w:hAnsi="Segoe UI" w:cs="Segoe UI"/>
        </w:rPr>
        <w:t>-</w:t>
      </w:r>
      <w:r w:rsidR="00805951">
        <w:rPr>
          <w:rFonts w:ascii="Segoe UI" w:hAnsi="Segoe UI" w:cs="Segoe UI"/>
        </w:rPr>
        <w:t>18</w:t>
      </w:r>
      <w:r w:rsidRPr="007F25A3">
        <w:rPr>
          <w:rFonts w:ascii="Segoe UI" w:hAnsi="Segoe UI" w:cs="Segoe UI"/>
        </w:rPr>
        <w:t>):</w:t>
      </w:r>
    </w:p>
    <w:p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rsidR="00135315" w:rsidRPr="007F25A3" w:rsidRDefault="00F34D97" w:rsidP="0089171C">
      <w:pPr>
        <w:pStyle w:val="Heading2"/>
        <w:rPr>
          <w:rFonts w:ascii="Segoe UI" w:hAnsi="Segoe UI" w:cs="Segoe UI"/>
          <w:i w:val="0"/>
        </w:rPr>
      </w:pPr>
      <w:bookmarkStart w:id="23" w:name="_Toc213563382"/>
      <w:bookmarkStart w:id="24" w:name="_Toc334007508"/>
      <w:r w:rsidRPr="007F25A3">
        <w:rPr>
          <w:rFonts w:ascii="Segoe UI" w:hAnsi="Segoe UI" w:cs="Segoe UI"/>
          <w:i w:val="0"/>
        </w:rPr>
        <w:t xml:space="preserve">A. </w:t>
      </w:r>
      <w:r w:rsidR="00135315" w:rsidRPr="007F25A3">
        <w:rPr>
          <w:rFonts w:ascii="Segoe UI" w:hAnsi="Segoe UI" w:cs="Segoe UI"/>
          <w:i w:val="0"/>
        </w:rPr>
        <w:t>Precipitation</w:t>
      </w:r>
      <w:bookmarkEnd w:id="23"/>
      <w:bookmarkEnd w:id="24"/>
    </w:p>
    <w:p w:rsidR="009E4D04" w:rsidRDefault="00333AE2" w:rsidP="009E4D04">
      <w:pPr>
        <w:rPr>
          <w:rFonts w:ascii="Segoe UI" w:hAnsi="Segoe UI" w:cs="Segoe UI"/>
        </w:rPr>
      </w:pPr>
      <w:r w:rsidRPr="007F25A3">
        <w:rPr>
          <w:rFonts w:ascii="Segoe UI" w:hAnsi="Segoe UI" w:cs="Segoe UI"/>
        </w:rPr>
        <w:t>For this analysis, data is used from four weather stations in the National Climatic Data Center network</w:t>
      </w:r>
      <w:r w:rsidR="00DD0849">
        <w:rPr>
          <w:rFonts w:ascii="Segoe UI" w:hAnsi="Segoe UI" w:cs="Segoe UI"/>
        </w:rPr>
        <w:t xml:space="preserve"> and two weather stations in the GMD 5 network</w:t>
      </w:r>
      <w:r w:rsidRPr="007F25A3">
        <w:rPr>
          <w:rFonts w:ascii="Segoe UI" w:hAnsi="Segoe UI" w:cs="Segoe UI"/>
        </w:rPr>
        <w:t xml:space="preserve">.  The </w:t>
      </w:r>
      <w:r w:rsidR="00DD0849">
        <w:rPr>
          <w:rFonts w:ascii="Segoe UI" w:hAnsi="Segoe UI" w:cs="Segoe UI"/>
        </w:rPr>
        <w:t>six</w:t>
      </w:r>
      <w:r w:rsidRPr="007F25A3">
        <w:rPr>
          <w:rFonts w:ascii="Segoe UI" w:hAnsi="Segoe UI" w:cs="Segoe UI"/>
        </w:rPr>
        <w:t xml:space="preserve"> stations include Bucklin in Ford County, Greensburg in Kiowa County, Trousdale 1NE in Edwards County</w:t>
      </w:r>
      <w:r w:rsidR="00DD0849">
        <w:rPr>
          <w:rFonts w:ascii="Segoe UI" w:hAnsi="Segoe UI" w:cs="Segoe UI"/>
        </w:rPr>
        <w:t>,</w:t>
      </w:r>
      <w:r w:rsidRPr="007F25A3">
        <w:rPr>
          <w:rFonts w:ascii="Segoe UI" w:hAnsi="Segoe UI" w:cs="Segoe UI"/>
        </w:rPr>
        <w:t xml:space="preserve"> Hudson in Stafford Count</w:t>
      </w:r>
      <w:r w:rsidR="001534E2" w:rsidRPr="007F25A3">
        <w:rPr>
          <w:rFonts w:ascii="Segoe UI" w:hAnsi="Segoe UI" w:cs="Segoe UI"/>
        </w:rPr>
        <w:t>y</w:t>
      </w:r>
      <w:r w:rsidR="00DD0849">
        <w:rPr>
          <w:rFonts w:ascii="Segoe UI" w:hAnsi="Segoe UI" w:cs="Segoe UI"/>
        </w:rPr>
        <w:t xml:space="preserve">, Greensburg in Kiowa County and </w:t>
      </w:r>
      <w:proofErr w:type="spellStart"/>
      <w:r w:rsidR="00DD0849">
        <w:rPr>
          <w:rFonts w:ascii="Segoe UI" w:hAnsi="Segoe UI" w:cs="Segoe UI"/>
        </w:rPr>
        <w:t>Macksville</w:t>
      </w:r>
      <w:proofErr w:type="spellEnd"/>
      <w:r w:rsidR="00DD0849">
        <w:rPr>
          <w:rFonts w:ascii="Segoe UI" w:hAnsi="Segoe UI" w:cs="Segoe UI"/>
        </w:rPr>
        <w:t xml:space="preserve"> in Stafford County</w:t>
      </w:r>
      <w:r w:rsidRPr="007F25A3">
        <w:rPr>
          <w:rFonts w:ascii="Segoe UI" w:hAnsi="Segoe UI" w:cs="Segoe UI"/>
        </w:rPr>
        <w:t xml:space="preserve"> (</w:t>
      </w:r>
      <w:r w:rsidR="000F4A63" w:rsidRPr="005511A3">
        <w:fldChar w:fldCharType="begin"/>
      </w:r>
      <w:r w:rsidR="000F4A63" w:rsidRPr="005511A3">
        <w:instrText xml:space="preserve"> REF _Ref232905696 \h </w:instrText>
      </w:r>
      <w:r w:rsidR="007F25A3" w:rsidRPr="005511A3">
        <w:instrText xml:space="preserve"> \* MERGEFORMAT </w:instrText>
      </w:r>
      <w:r w:rsidR="000F4A63" w:rsidRPr="005511A3">
        <w:fldChar w:fldCharType="separate"/>
      </w:r>
      <w:r w:rsidR="00FC22DA" w:rsidRPr="00FC22DA">
        <w:rPr>
          <w:rFonts w:ascii="Segoe UI" w:hAnsi="Segoe UI" w:cs="Segoe UI"/>
        </w:rPr>
        <w:t xml:space="preserve">Figure </w:t>
      </w:r>
      <w:r w:rsidR="00FC22DA" w:rsidRPr="00FC22DA">
        <w:rPr>
          <w:rFonts w:ascii="Segoe UI" w:hAnsi="Segoe UI" w:cs="Segoe UI"/>
          <w:noProof/>
        </w:rPr>
        <w:t>1</w:t>
      </w:r>
      <w:r w:rsidR="000F4A63" w:rsidRPr="005511A3">
        <w:fldChar w:fldCharType="end"/>
      </w:r>
      <w:r w:rsidRPr="007F25A3">
        <w:rPr>
          <w:rFonts w:ascii="Segoe UI" w:hAnsi="Segoe UI" w:cs="Segoe UI"/>
        </w:rPr>
        <w:t xml:space="preserve">).  </w:t>
      </w:r>
      <w:r w:rsidR="00510CA3">
        <w:rPr>
          <w:rFonts w:ascii="Segoe UI" w:hAnsi="Segoe UI" w:cs="Segoe UI"/>
        </w:rPr>
        <w:t>The analysis includes provisional data provided by the Kansas State Climatologist, Mary Knapp.  The historical average of the subbasin since 1948 is 24.</w:t>
      </w:r>
      <w:r w:rsidR="00DD0849">
        <w:rPr>
          <w:rFonts w:ascii="Segoe UI" w:hAnsi="Segoe UI" w:cs="Segoe UI"/>
        </w:rPr>
        <w:t>2</w:t>
      </w:r>
      <w:r w:rsidR="00510CA3">
        <w:rPr>
          <w:rFonts w:ascii="Segoe UI" w:hAnsi="Segoe UI" w:cs="Segoe UI"/>
        </w:rPr>
        <w:t xml:space="preserve">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DD0849">
        <w:rPr>
          <w:rFonts w:ascii="Segoe UI" w:hAnsi="Segoe UI" w:cs="Segoe UI"/>
        </w:rPr>
        <w:t>9</w:t>
      </w:r>
      <w:r w:rsidR="00510CA3">
        <w:rPr>
          <w:rFonts w:ascii="Segoe UI" w:hAnsi="Segoe UI" w:cs="Segoe UI"/>
        </w:rPr>
        <w:t xml:space="preserve"> and </w:t>
      </w:r>
      <w:r w:rsidR="00DD0849">
        <w:rPr>
          <w:rFonts w:ascii="Segoe UI" w:hAnsi="Segoe UI" w:cs="Segoe UI"/>
        </w:rPr>
        <w:t>27.2</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DD0849">
        <w:rPr>
          <w:rFonts w:ascii="Segoe UI" w:hAnsi="Segoe UI" w:cs="Segoe UI"/>
        </w:rPr>
        <w:t>14.6</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002947">
        <w:fldChar w:fldCharType="begin"/>
      </w:r>
      <w:r w:rsidR="00002947">
        <w:instrText xml:space="preserve"> REF _Ref232905763 \h  \* MERGEFORMAT </w:instrText>
      </w:r>
      <w:r w:rsidR="00002947">
        <w:fldChar w:fldCharType="separate"/>
      </w:r>
      <w:r w:rsidR="00FC22DA" w:rsidRPr="00FC22DA">
        <w:rPr>
          <w:rFonts w:ascii="Segoe UI" w:hAnsi="Segoe UI" w:cs="Segoe UI"/>
        </w:rPr>
        <w:t xml:space="preserve">Figure </w:t>
      </w:r>
      <w:r w:rsidR="00FC22DA" w:rsidRPr="00FC22DA">
        <w:rPr>
          <w:rFonts w:ascii="Segoe UI" w:hAnsi="Segoe UI" w:cs="Segoe UI"/>
        </w:rPr>
        <w:lastRenderedPageBreak/>
        <w:t>2</w:t>
      </w:r>
      <w:r w:rsidR="00002947">
        <w:fldChar w:fldCharType="end"/>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significantly below average.  </w:t>
      </w:r>
    </w:p>
    <w:p w:rsidR="00D75C4F" w:rsidRPr="007F25A3" w:rsidRDefault="009511D1" w:rsidP="009E4D04">
      <w:pPr>
        <w:jc w:val="center"/>
        <w:rPr>
          <w:rFonts w:ascii="Segoe UI" w:hAnsi="Segoe UI" w:cs="Segoe UI"/>
        </w:rPr>
      </w:pPr>
      <w:r>
        <w:rPr>
          <w:rFonts w:ascii="Segoe UI" w:hAnsi="Segoe UI" w:cs="Segoe UI"/>
          <w:noProof/>
        </w:rPr>
        <w:drawing>
          <wp:inline distT="0" distB="0" distL="0" distR="0">
            <wp:extent cx="5314950" cy="4103517"/>
            <wp:effectExtent l="0" t="0" r="0" b="0"/>
            <wp:docPr id="21" name="Picture 21" descr="\\AG0\HomeDirs\dpaull\Desktop\Weather S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0\HomeDirs\dpaull\Desktop\Weather St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4950" cy="4103517"/>
                    </a:xfrm>
                    <a:prstGeom prst="rect">
                      <a:avLst/>
                    </a:prstGeom>
                    <a:noFill/>
                    <a:ln>
                      <a:noFill/>
                    </a:ln>
                  </pic:spPr>
                </pic:pic>
              </a:graphicData>
            </a:graphic>
          </wp:inline>
        </w:drawing>
      </w:r>
    </w:p>
    <w:p w:rsidR="00D75C4F" w:rsidRPr="007F25A3" w:rsidRDefault="00D75C4F" w:rsidP="00D75C4F">
      <w:pPr>
        <w:pStyle w:val="Caption"/>
        <w:rPr>
          <w:rFonts w:cs="Segoe UI"/>
        </w:rPr>
      </w:pPr>
      <w:bookmarkStart w:id="25" w:name="_Ref232905696"/>
      <w:bookmarkStart w:id="26" w:name="_Toc335721225"/>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w:t>
      </w:r>
      <w:r w:rsidRPr="007F25A3">
        <w:rPr>
          <w:rFonts w:cs="Segoe UI"/>
        </w:rPr>
        <w:fldChar w:fldCharType="end"/>
      </w:r>
      <w:bookmarkEnd w:id="25"/>
      <w:r w:rsidRPr="007F25A3">
        <w:rPr>
          <w:rFonts w:cs="Segoe UI"/>
        </w:rPr>
        <w:t xml:space="preserve">: National Climatic Data Center </w:t>
      </w:r>
      <w:r w:rsidR="009511D1">
        <w:rPr>
          <w:rFonts w:cs="Segoe UI"/>
        </w:rPr>
        <w:t>and GMD 5 Weather</w:t>
      </w:r>
      <w:r w:rsidRPr="007F25A3">
        <w:rPr>
          <w:rFonts w:cs="Segoe UI"/>
        </w:rPr>
        <w:t xml:space="preserve"> Stations</w:t>
      </w:r>
      <w:bookmarkEnd w:id="26"/>
    </w:p>
    <w:p w:rsidR="00C75BFE" w:rsidRPr="007F25A3" w:rsidRDefault="00DD0849">
      <w:pPr>
        <w:jc w:val="center"/>
        <w:rPr>
          <w:rFonts w:ascii="Segoe UI" w:hAnsi="Segoe UI" w:cs="Segoe UI"/>
        </w:rPr>
      </w:pPr>
      <w:bookmarkStart w:id="27" w:name="_Ref232905705"/>
      <w:r>
        <w:rPr>
          <w:rFonts w:ascii="Segoe UI" w:hAnsi="Segoe UI" w:cs="Segoe UI"/>
          <w:noProof/>
        </w:rPr>
        <w:drawing>
          <wp:inline distT="0" distB="0" distL="0" distR="0" wp14:anchorId="5ADCB65C">
            <wp:extent cx="5081066" cy="33051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975" cy="3304466"/>
                    </a:xfrm>
                    <a:prstGeom prst="rect">
                      <a:avLst/>
                    </a:prstGeom>
                    <a:noFill/>
                  </pic:spPr>
                </pic:pic>
              </a:graphicData>
            </a:graphic>
          </wp:inline>
        </w:drawing>
      </w:r>
    </w:p>
    <w:p w:rsidR="00D75C4F" w:rsidRPr="007F25A3" w:rsidRDefault="00D75C4F" w:rsidP="00D75C4F">
      <w:pPr>
        <w:pStyle w:val="Caption"/>
        <w:rPr>
          <w:rFonts w:cs="Segoe UI"/>
        </w:rPr>
      </w:pPr>
      <w:r w:rsidRPr="007F25A3">
        <w:rPr>
          <w:rFonts w:cs="Segoe UI"/>
        </w:rPr>
        <w:t xml:space="preserve"> </w:t>
      </w:r>
      <w:bookmarkStart w:id="28" w:name="_Ref232905763"/>
      <w:bookmarkStart w:id="29" w:name="_Toc335721226"/>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2</w:t>
      </w:r>
      <w:r w:rsidRPr="007F25A3">
        <w:rPr>
          <w:rFonts w:cs="Segoe UI"/>
        </w:rPr>
        <w:fldChar w:fldCharType="end"/>
      </w:r>
      <w:bookmarkEnd w:id="27"/>
      <w:bookmarkEnd w:id="28"/>
      <w:r w:rsidRPr="007F25A3">
        <w:rPr>
          <w:rFonts w:cs="Segoe UI"/>
        </w:rPr>
        <w:t>: Precipitation for the Rattlesnake Creek Subbasin 1939-20</w:t>
      </w:r>
      <w:r w:rsidR="00510CA3">
        <w:rPr>
          <w:rFonts w:cs="Segoe UI"/>
        </w:rPr>
        <w:t>11</w:t>
      </w:r>
      <w:bookmarkEnd w:id="29"/>
    </w:p>
    <w:p w:rsidR="002F3673" w:rsidRDefault="00135315" w:rsidP="0089171C">
      <w:pPr>
        <w:pStyle w:val="Heading2"/>
        <w:rPr>
          <w:rFonts w:ascii="Segoe UI" w:hAnsi="Segoe UI" w:cs="Segoe UI"/>
          <w:i w:val="0"/>
        </w:rPr>
      </w:pPr>
      <w:bookmarkStart w:id="30" w:name="_Toc213563383"/>
      <w:bookmarkStart w:id="31" w:name="_Toc334007509"/>
      <w:r w:rsidRPr="007F25A3">
        <w:rPr>
          <w:rFonts w:ascii="Segoe UI" w:hAnsi="Segoe UI" w:cs="Segoe UI"/>
          <w:i w:val="0"/>
        </w:rPr>
        <w:lastRenderedPageBreak/>
        <w:t xml:space="preserve">B. </w:t>
      </w:r>
      <w:r w:rsidR="00F34D97" w:rsidRPr="007F25A3">
        <w:rPr>
          <w:rFonts w:ascii="Segoe UI" w:hAnsi="Segoe UI" w:cs="Segoe UI"/>
          <w:i w:val="0"/>
        </w:rPr>
        <w:t>Streamflow</w:t>
      </w:r>
      <w:bookmarkEnd w:id="30"/>
      <w:bookmarkEnd w:id="31"/>
    </w:p>
    <w:p w:rsidR="0077768D" w:rsidRDefault="0077768D" w:rsidP="0077768D">
      <w:pPr>
        <w:pStyle w:val="NoSpacing"/>
      </w:pPr>
      <w:r>
        <w:t xml:space="preserve">The following map </w:t>
      </w:r>
      <w:r>
        <w:fldChar w:fldCharType="begin"/>
      </w:r>
      <w:r>
        <w:instrText xml:space="preserve"> REF _Ref322956649 \h </w:instrText>
      </w:r>
      <w:r>
        <w:fldChar w:fldCharType="separate"/>
      </w:r>
      <w:r w:rsidR="005141BE">
        <w:t>(</w:t>
      </w:r>
      <w:r w:rsidR="00FC22DA">
        <w:t xml:space="preserve">Figure </w:t>
      </w:r>
      <w:r w:rsidR="00FC22DA">
        <w:rPr>
          <w:noProof/>
        </w:rPr>
        <w:t>3</w:t>
      </w:r>
      <w:r>
        <w:fldChar w:fldCharType="end"/>
      </w:r>
      <w:r w:rsidR="005141BE">
        <w:t>)</w:t>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83306C">
        <w:fldChar w:fldCharType="begin"/>
      </w:r>
      <w:r w:rsidR="000A5575">
        <w:instrText xml:space="preserve"> REF _Ref323648803 \h </w:instrText>
      </w:r>
      <w:r w:rsidR="0083306C">
        <w:fldChar w:fldCharType="separate"/>
      </w:r>
      <w:r w:rsidR="00FC22DA" w:rsidRPr="007F25A3">
        <w:rPr>
          <w:rFonts w:cs="Segoe UI"/>
        </w:rPr>
        <w:t xml:space="preserve">Figure </w:t>
      </w:r>
      <w:r w:rsidR="00FC22DA">
        <w:rPr>
          <w:rFonts w:cs="Segoe UI"/>
          <w:noProof/>
        </w:rPr>
        <w:t>17</w:t>
      </w:r>
      <w:r w:rsidR="0083306C">
        <w:fldChar w:fldCharType="end"/>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p>
    <w:p w:rsidR="0077768D" w:rsidRDefault="00EE3AE1" w:rsidP="004129FD">
      <w:pPr>
        <w:pStyle w:val="NoSpacing"/>
        <w:jc w:val="center"/>
      </w:pPr>
      <w:bookmarkStart w:id="32" w:name="_Ref322956649"/>
      <w:r>
        <w:rPr>
          <w:noProof/>
        </w:rPr>
        <w:drawing>
          <wp:inline distT="0" distB="0" distL="0" distR="0" wp14:anchorId="0D6C21F8" wp14:editId="085FF21A">
            <wp:extent cx="5356289" cy="4137391"/>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394" cy="4143651"/>
                    </a:xfrm>
                    <a:prstGeom prst="rect">
                      <a:avLst/>
                    </a:prstGeom>
                    <a:noFill/>
                    <a:ln>
                      <a:noFill/>
                    </a:ln>
                  </pic:spPr>
                </pic:pic>
              </a:graphicData>
            </a:graphic>
          </wp:inline>
        </w:drawing>
      </w:r>
    </w:p>
    <w:p w:rsidR="0077768D" w:rsidRPr="0077768D" w:rsidRDefault="0077768D" w:rsidP="0077768D">
      <w:pPr>
        <w:pStyle w:val="Caption"/>
      </w:pPr>
      <w:bookmarkStart w:id="33" w:name="_Toc335721227"/>
      <w:r>
        <w:t xml:space="preserve">Figure </w:t>
      </w:r>
      <w:fldSimple w:instr=" SEQ Figure \* ARABIC ">
        <w:r w:rsidR="00FC22DA">
          <w:rPr>
            <w:noProof/>
          </w:rPr>
          <w:t>3</w:t>
        </w:r>
      </w:fldSimple>
      <w:bookmarkEnd w:id="32"/>
      <w:r>
        <w:t>: USGS Streamflow Gages</w:t>
      </w:r>
      <w:bookmarkEnd w:id="33"/>
    </w:p>
    <w:p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34" w:name="_Toc213563384"/>
      <w:bookmarkStart w:id="35" w:name="_Toc334007510"/>
      <w:r w:rsidRPr="007F25A3">
        <w:rPr>
          <w:rFonts w:ascii="Segoe UI" w:hAnsi="Segoe UI" w:cs="Segoe UI"/>
        </w:rPr>
        <w:t>January 10-Year Rolling Average of 25 cfs:</w:t>
      </w:r>
      <w:bookmarkEnd w:id="34"/>
      <w:bookmarkEnd w:id="35"/>
    </w:p>
    <w:p w:rsidR="000313EF" w:rsidRPr="005511A3" w:rsidRDefault="0089171C" w:rsidP="00D75C4F">
      <w:pPr>
        <w:rPr>
          <w:rFonts w:ascii="Segoe UI" w:hAnsi="Segoe UI" w:cs="Segoe UI"/>
        </w:rPr>
      </w:pPr>
      <w:r w:rsidRPr="007F25A3">
        <w:rPr>
          <w:rFonts w:ascii="Segoe UI" w:hAnsi="Segoe UI" w:cs="Segoe UI"/>
        </w:rPr>
        <w:t>The management p</w:t>
      </w:r>
      <w:r w:rsidR="00AA250E" w:rsidRPr="007F25A3">
        <w:rPr>
          <w:rFonts w:ascii="Segoe UI" w:hAnsi="Segoe UI" w:cs="Segoe UI"/>
        </w:rPr>
        <w:t>rogram</w:t>
      </w:r>
      <w:r w:rsidRPr="007F25A3">
        <w:rPr>
          <w:rFonts w:ascii="Segoe UI" w:hAnsi="Segoe UI" w:cs="Segoe UI"/>
        </w:rPr>
        <w:t xml:space="preserve"> establishe</w:t>
      </w:r>
      <w:r w:rsidR="00E53064">
        <w:rPr>
          <w:rFonts w:ascii="Segoe UI" w:hAnsi="Segoe UI" w:cs="Segoe UI"/>
        </w:rPr>
        <w:t>d</w:t>
      </w:r>
      <w:r w:rsidRPr="007F25A3">
        <w:rPr>
          <w:rFonts w:ascii="Segoe UI" w:hAnsi="Segoe UI" w:cs="Segoe UI"/>
        </w:rPr>
        <w:t xml:space="preserve"> a goal </w:t>
      </w:r>
      <w:r w:rsidR="00C75BFE">
        <w:rPr>
          <w:rFonts w:ascii="Segoe UI" w:hAnsi="Segoe UI" w:cs="Segoe UI"/>
        </w:rPr>
        <w:t>(III, A</w:t>
      </w:r>
      <w:r w:rsidR="00821438">
        <w:rPr>
          <w:rFonts w:ascii="Segoe UI" w:hAnsi="Segoe UI" w:cs="Segoe UI"/>
        </w:rPr>
        <w:t>.</w:t>
      </w:r>
      <w:r w:rsidR="00C75BFE">
        <w:rPr>
          <w:rFonts w:ascii="Segoe UI" w:hAnsi="Segoe UI" w:cs="Segoe UI"/>
        </w:rPr>
        <w:t xml:space="preserve">) </w:t>
      </w:r>
      <w:r w:rsidRPr="007F25A3">
        <w:rPr>
          <w:rFonts w:ascii="Segoe UI" w:hAnsi="Segoe UI" w:cs="Segoe UI"/>
        </w:rPr>
        <w:t>to meet and maintain a 10-year average of 25 cfs at the Zenith</w:t>
      </w:r>
      <w:r w:rsidR="00493B02" w:rsidRPr="007F25A3">
        <w:rPr>
          <w:rFonts w:ascii="Segoe UI" w:hAnsi="Segoe UI" w:cs="Segoe UI"/>
        </w:rPr>
        <w:t xml:space="preserve"> USGS streamflow</w:t>
      </w:r>
      <w:r w:rsidRPr="007F25A3">
        <w:rPr>
          <w:rFonts w:ascii="Segoe UI" w:hAnsi="Segoe UI" w:cs="Segoe UI"/>
        </w:rPr>
        <w:t xml:space="preserve"> gage during the month of January.  </w:t>
      </w:r>
      <w:r w:rsidR="00B325CC" w:rsidRPr="007F25A3">
        <w:rPr>
          <w:rFonts w:ascii="Segoe UI" w:hAnsi="Segoe UI" w:cs="Segoe UI"/>
        </w:rPr>
        <w:t xml:space="preserve">Average January streamflow has declined since its peak in 1998.  As a result, the 10-year rolling average </w:t>
      </w:r>
      <w:r w:rsidR="000313EF">
        <w:rPr>
          <w:rFonts w:ascii="Segoe UI" w:hAnsi="Segoe UI" w:cs="Segoe UI"/>
        </w:rPr>
        <w:t xml:space="preserve">of past years streamflow, including years before the program started, </w:t>
      </w:r>
      <w:r w:rsidR="00B325CC" w:rsidRPr="007F25A3">
        <w:rPr>
          <w:rFonts w:ascii="Segoe UI" w:hAnsi="Segoe UI" w:cs="Segoe UI"/>
        </w:rPr>
        <w:t>has declined since 2002.</w:t>
      </w:r>
      <w:r w:rsidR="00FE3C2C" w:rsidRPr="007F25A3">
        <w:rPr>
          <w:rFonts w:ascii="Segoe UI" w:hAnsi="Segoe UI" w:cs="Segoe UI"/>
        </w:rPr>
        <w:t xml:space="preserve">  </w:t>
      </w:r>
      <w:r w:rsidR="00691D1E">
        <w:rPr>
          <w:rFonts w:ascii="Segoe UI" w:hAnsi="Segoe UI" w:cs="Segoe UI"/>
        </w:rPr>
        <w:t>In 2009, 2010 and 2011, January streamflows were above 25 cfs, but the 10-year rolling average sank below 25 cfs</w:t>
      </w:r>
      <w:r w:rsidR="00052F5A">
        <w:rPr>
          <w:rFonts w:ascii="Segoe UI" w:hAnsi="Segoe UI" w:cs="Segoe UI"/>
        </w:rPr>
        <w:t>.</w:t>
      </w:r>
      <w:r w:rsidR="00691D1E">
        <w:rPr>
          <w:rFonts w:ascii="Segoe UI" w:hAnsi="Segoe UI" w:cs="Segoe UI"/>
        </w:rPr>
        <w:t xml:space="preserve">  In 2012, streamflow in January was significantly below 25 cfs and the 10-year rolling average declined </w:t>
      </w:r>
      <w:r w:rsidR="001D032C">
        <w:rPr>
          <w:rFonts w:ascii="Segoe UI" w:hAnsi="Segoe UI" w:cs="Segoe UI"/>
        </w:rPr>
        <w:t>further</w:t>
      </w:r>
      <w:r w:rsidR="00691D1E">
        <w:rPr>
          <w:rFonts w:ascii="Segoe UI" w:hAnsi="Segoe UI" w:cs="Segoe UI"/>
        </w:rPr>
        <w:t xml:space="preserve"> </w:t>
      </w:r>
      <w:r w:rsidR="007C54B2" w:rsidRPr="007F25A3">
        <w:rPr>
          <w:rFonts w:ascii="Segoe UI" w:hAnsi="Segoe UI" w:cs="Segoe UI"/>
        </w:rPr>
        <w:t>(</w:t>
      </w:r>
      <w:r w:rsidR="00002947">
        <w:fldChar w:fldCharType="begin"/>
      </w:r>
      <w:r w:rsidR="00002947">
        <w:instrText xml:space="preserve"> REF _Ref232904019 \h  \* MERGEFORMAT </w:instrText>
      </w:r>
      <w:r w:rsidR="00002947">
        <w:fldChar w:fldCharType="separate"/>
      </w:r>
      <w:r w:rsidR="00FC22DA" w:rsidRPr="00FC22DA">
        <w:rPr>
          <w:rFonts w:ascii="Segoe UI" w:hAnsi="Segoe UI" w:cs="Segoe UI"/>
        </w:rPr>
        <w:t>Figure 4</w:t>
      </w:r>
      <w:r w:rsidR="00002947">
        <w:fldChar w:fldCharType="end"/>
      </w:r>
      <w:r w:rsidR="00F57147" w:rsidRPr="007F25A3">
        <w:rPr>
          <w:rFonts w:ascii="Segoe UI" w:hAnsi="Segoe UI" w:cs="Segoe UI"/>
        </w:rPr>
        <w:t xml:space="preserve">).  </w:t>
      </w:r>
      <w:r w:rsidR="007C54B2" w:rsidRPr="007F25A3">
        <w:rPr>
          <w:rFonts w:ascii="Segoe UI" w:hAnsi="Segoe UI" w:cs="Segoe UI"/>
        </w:rPr>
        <w:t>The original Rattlesnake Management Program states, “By achieving 25 cfs on average during January at the Zenith gage, base flows should be restored to Rattlesnake Creek</w:t>
      </w:r>
      <w:r w:rsidR="00C553F1">
        <w:rPr>
          <w:rFonts w:ascii="Segoe UI" w:hAnsi="Segoe UI" w:cs="Segoe UI"/>
        </w:rPr>
        <w:t xml:space="preserve">.  </w:t>
      </w:r>
      <w:r w:rsidR="007C54B2" w:rsidRPr="007F25A3">
        <w:rPr>
          <w:rFonts w:ascii="Segoe UI" w:hAnsi="Segoe UI" w:cs="Segoe UI"/>
        </w:rPr>
        <w:lastRenderedPageBreak/>
        <w:t>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streamflows has moved to a positive trend or not.</w:t>
      </w:r>
      <w:r w:rsidR="00105E72" w:rsidRPr="007F25A3">
        <w:rPr>
          <w:rFonts w:ascii="Segoe UI" w:hAnsi="Segoe UI" w:cs="Segoe UI"/>
        </w:rPr>
        <w:t xml:space="preserve">”  </w:t>
      </w:r>
      <w:r w:rsidR="00E55979" w:rsidRPr="00772DB5">
        <w:rPr>
          <w:rFonts w:ascii="Segoe UI" w:hAnsi="Segoe UI" w:cs="Segoe UI"/>
        </w:rPr>
        <w:t xml:space="preserve">See </w:t>
      </w:r>
      <w:r w:rsidR="005511A3" w:rsidRPr="005511A3">
        <w:rPr>
          <w:rFonts w:ascii="Segoe UI" w:hAnsi="Segoe UI" w:cs="Segoe UI"/>
        </w:rPr>
        <w:fldChar w:fldCharType="begin"/>
      </w:r>
      <w:r w:rsidR="005511A3" w:rsidRPr="005511A3">
        <w:rPr>
          <w:rFonts w:ascii="Segoe UI" w:hAnsi="Segoe UI" w:cs="Segoe UI"/>
        </w:rPr>
        <w:instrText xml:space="preserve"> REF _Ref331669557 \h </w:instrText>
      </w:r>
      <w:r w:rsidR="005511A3">
        <w:rPr>
          <w:rFonts w:ascii="Segoe UI" w:hAnsi="Segoe UI" w:cs="Segoe UI"/>
        </w:rPr>
        <w:instrText xml:space="preserve"> \* MERGEFORMAT </w:instrText>
      </w:r>
      <w:r w:rsidR="005511A3" w:rsidRPr="005511A3">
        <w:rPr>
          <w:rFonts w:ascii="Segoe UI" w:hAnsi="Segoe UI" w:cs="Segoe UI"/>
        </w:rPr>
      </w:r>
      <w:r w:rsidR="005511A3" w:rsidRPr="005511A3">
        <w:rPr>
          <w:rFonts w:ascii="Segoe UI" w:hAnsi="Segoe UI" w:cs="Segoe UI"/>
        </w:rPr>
        <w:fldChar w:fldCharType="separate"/>
      </w:r>
      <w:r w:rsidR="00FC22DA" w:rsidRPr="00FC22DA">
        <w:rPr>
          <w:rFonts w:ascii="Segoe UI" w:hAnsi="Segoe UI" w:cs="Segoe UI"/>
        </w:rPr>
        <w:t xml:space="preserve">Figure </w:t>
      </w:r>
      <w:r w:rsidR="00FC22DA" w:rsidRPr="00FC22DA">
        <w:rPr>
          <w:rFonts w:ascii="Segoe UI" w:hAnsi="Segoe UI" w:cs="Segoe UI"/>
          <w:noProof/>
        </w:rPr>
        <w:t>4</w:t>
      </w:r>
      <w:r w:rsidR="003C121F">
        <w:rPr>
          <w:rFonts w:ascii="Segoe UI" w:hAnsi="Segoe UI" w:cs="Segoe UI"/>
          <w:noProof/>
        </w:rPr>
        <w:t>.</w:t>
      </w:r>
      <w:r w:rsidR="00FC22DA" w:rsidRPr="007F25A3">
        <w:rPr>
          <w:rFonts w:cs="Segoe UI"/>
        </w:rPr>
        <w:t xml:space="preserve"> </w:t>
      </w:r>
      <w:r w:rsidR="005511A3" w:rsidRPr="005511A3">
        <w:rPr>
          <w:rFonts w:ascii="Segoe UI" w:hAnsi="Segoe UI" w:cs="Segoe UI"/>
        </w:rPr>
        <w:fldChar w:fldCharType="end"/>
      </w:r>
    </w:p>
    <w:p w:rsidR="000313EF" w:rsidRDefault="000313EF" w:rsidP="00D75C4F">
      <w:pPr>
        <w:rPr>
          <w:rFonts w:ascii="Segoe UI" w:hAnsi="Segoe UI" w:cs="Segoe UI"/>
        </w:rPr>
      </w:pPr>
    </w:p>
    <w:p w:rsidR="00D75C4F" w:rsidRPr="004129FD" w:rsidRDefault="00691D1E" w:rsidP="005511A3">
      <w:pPr>
        <w:rPr>
          <w:rFonts w:ascii="Segoe UI" w:hAnsi="Segoe UI" w:cs="Segoe UI"/>
        </w:rPr>
      </w:pPr>
      <w:r w:rsidRPr="007F25A3">
        <w:rPr>
          <w:rFonts w:ascii="Segoe UI" w:hAnsi="Segoe UI" w:cs="Segoe UI"/>
        </w:rPr>
        <w:t>Beginning</w:t>
      </w:r>
      <w:r>
        <w:rPr>
          <w:rFonts w:ascii="Segoe UI" w:hAnsi="Segoe UI" w:cs="Segoe UI"/>
        </w:rPr>
        <w:t xml:space="preserve"> in 2009, the 10-year rolling average dropped below the 25 cfs objective and has remained below </w:t>
      </w:r>
      <w:r w:rsidR="001D032C">
        <w:rPr>
          <w:rFonts w:ascii="Segoe UI" w:hAnsi="Segoe UI" w:cs="Segoe UI"/>
        </w:rPr>
        <w:t>since</w:t>
      </w:r>
      <w:r>
        <w:rPr>
          <w:rFonts w:ascii="Segoe UI" w:hAnsi="Segoe UI" w:cs="Segoe UI"/>
        </w:rPr>
        <w:t xml:space="preserve">. </w:t>
      </w:r>
    </w:p>
    <w:p w:rsidR="00C94111" w:rsidRPr="007F25A3" w:rsidRDefault="00C94111" w:rsidP="00D75C4F">
      <w:pPr>
        <w:rPr>
          <w:rFonts w:ascii="Segoe UI" w:hAnsi="Segoe UI" w:cs="Segoe UI"/>
        </w:rPr>
      </w:pPr>
    </w:p>
    <w:p w:rsidR="00D04F39" w:rsidRPr="004129FD" w:rsidRDefault="00CE2AD3" w:rsidP="004129FD">
      <w:pPr>
        <w:jc w:val="center"/>
        <w:rPr>
          <w:rFonts w:ascii="Segoe UI" w:hAnsi="Segoe UI" w:cs="Segoe UI"/>
          <w:b/>
          <w:noProof/>
          <w:sz w:val="20"/>
          <w:szCs w:val="20"/>
        </w:rPr>
      </w:pPr>
      <w:r w:rsidRPr="00C94111">
        <w:rPr>
          <w:rFonts w:ascii="Segoe UI" w:hAnsi="Segoe UI" w:cs="Segoe UI"/>
          <w:b/>
          <w:noProof/>
          <w:sz w:val="20"/>
          <w:szCs w:val="20"/>
        </w:rPr>
        <w:drawing>
          <wp:inline distT="0" distB="0" distL="0" distR="0" wp14:anchorId="76451CB4" wp14:editId="546B1D20">
            <wp:extent cx="5923280" cy="3521075"/>
            <wp:effectExtent l="0" t="0" r="1270" b="317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80" cy="3521075"/>
                    </a:xfrm>
                    <a:prstGeom prst="rect">
                      <a:avLst/>
                    </a:prstGeom>
                    <a:noFill/>
                    <a:ln>
                      <a:noFill/>
                    </a:ln>
                  </pic:spPr>
                </pic:pic>
              </a:graphicData>
            </a:graphic>
          </wp:inline>
        </w:drawing>
      </w:r>
    </w:p>
    <w:p w:rsidR="00D75C4F" w:rsidRDefault="00D75C4F" w:rsidP="00D75C4F">
      <w:pPr>
        <w:pStyle w:val="Caption"/>
        <w:rPr>
          <w:rFonts w:cs="Segoe UI"/>
        </w:rPr>
      </w:pPr>
      <w:bookmarkStart w:id="36" w:name="_Ref232904019"/>
      <w:bookmarkStart w:id="37" w:name="_Ref331669557"/>
      <w:bookmarkStart w:id="38" w:name="_Toc335721228"/>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4</w:t>
      </w:r>
      <w:r w:rsidRPr="007F25A3">
        <w:rPr>
          <w:rFonts w:cs="Segoe UI"/>
        </w:rPr>
        <w:fldChar w:fldCharType="end"/>
      </w:r>
      <w:bookmarkEnd w:id="36"/>
      <w:r w:rsidRPr="007F25A3">
        <w:rPr>
          <w:rFonts w:cs="Segoe UI"/>
        </w:rPr>
        <w:t>: January Streamflow for USGS Zenith Gage</w:t>
      </w:r>
      <w:bookmarkEnd w:id="37"/>
      <w:bookmarkEnd w:id="38"/>
    </w:p>
    <w:p w:rsidR="0089171C" w:rsidRPr="007F25A3" w:rsidRDefault="002F3673" w:rsidP="002F3673">
      <w:pPr>
        <w:pStyle w:val="Heading3"/>
        <w:rPr>
          <w:rFonts w:ascii="Segoe UI" w:hAnsi="Segoe UI" w:cs="Segoe UI"/>
        </w:rPr>
      </w:pPr>
      <w:bookmarkStart w:id="39" w:name="_Toc213563385"/>
      <w:bookmarkStart w:id="40" w:name="_Toc334007511"/>
      <w:r w:rsidRPr="007F25A3">
        <w:rPr>
          <w:rFonts w:ascii="Segoe UI" w:hAnsi="Segoe UI" w:cs="Segoe UI"/>
        </w:rPr>
        <w:t>Minimum Desirable Streamflow (MDS) at the Zenith Streamflow Gage</w:t>
      </w:r>
      <w:bookmarkEnd w:id="39"/>
      <w:bookmarkEnd w:id="40"/>
    </w:p>
    <w:p w:rsidR="00B96A19" w:rsidRPr="007F25A3" w:rsidRDefault="00B96A19" w:rsidP="00B96A19">
      <w:pPr>
        <w:rPr>
          <w:rFonts w:ascii="Segoe UI" w:hAnsi="Segoe UI" w:cs="Segoe UI"/>
        </w:rPr>
      </w:pPr>
      <w:r w:rsidRPr="007F25A3">
        <w:rPr>
          <w:rFonts w:ascii="Segoe UI" w:hAnsi="Segoe UI" w:cs="Segoe UI"/>
        </w:rPr>
        <w:t xml:space="preserve">In 1984, the </w:t>
      </w:r>
      <w:smartTag w:uri="urn:schemas-microsoft-com:office:smarttags" w:element="place">
        <w:smartTag w:uri="urn:schemas-microsoft-com:office:smarttags" w:element="State">
          <w:r w:rsidRPr="007F25A3">
            <w:rPr>
              <w:rFonts w:ascii="Segoe UI" w:hAnsi="Segoe UI" w:cs="Segoe UI"/>
            </w:rPr>
            <w:t>Kansas</w:t>
          </w:r>
        </w:smartTag>
      </w:smartTag>
      <w:r w:rsidRPr="007F25A3">
        <w:rPr>
          <w:rFonts w:ascii="Segoe UI" w:hAnsi="Segoe UI" w:cs="Segoe UI"/>
        </w:rPr>
        <w:t xml:space="preserve"> </w:t>
      </w:r>
      <w:r w:rsidR="00F328A3" w:rsidRPr="007F25A3">
        <w:rPr>
          <w:rFonts w:ascii="Segoe UI" w:hAnsi="Segoe UI" w:cs="Segoe UI"/>
        </w:rPr>
        <w:t>L</w:t>
      </w:r>
      <w:r w:rsidRPr="007F25A3">
        <w:rPr>
          <w:rFonts w:ascii="Segoe UI" w:hAnsi="Segoe UI" w:cs="Segoe UI"/>
        </w:rPr>
        <w:t>egislature amended the Kansas Water Appropriation Act to include Minimum Desirable Streamflow (MDS).</w:t>
      </w:r>
      <w:r w:rsidR="00D22D75" w:rsidRPr="007F25A3">
        <w:rPr>
          <w:rFonts w:ascii="Segoe UI" w:hAnsi="Segoe UI" w:cs="Segoe UI"/>
        </w:rPr>
        <w:t xml:space="preserve">  </w:t>
      </w:r>
      <w:r w:rsidR="00A57222" w:rsidRPr="007F25A3">
        <w:rPr>
          <w:rFonts w:ascii="Segoe UI" w:hAnsi="Segoe UI" w:cs="Segoe UI"/>
        </w:rPr>
        <w:t>Once a streamflow gag</w:t>
      </w:r>
      <w:r w:rsidR="00F8357F" w:rsidRPr="007F25A3">
        <w:rPr>
          <w:rFonts w:ascii="Segoe UI" w:hAnsi="Segoe UI" w:cs="Segoe UI"/>
        </w:rPr>
        <w:t>e</w:t>
      </w:r>
      <w:r w:rsidR="00A57222" w:rsidRPr="007F25A3">
        <w:rPr>
          <w:rFonts w:ascii="Segoe UI" w:hAnsi="Segoe UI" w:cs="Segoe UI"/>
        </w:rPr>
        <w:t xml:space="preserve"> station records streamflow for seven consecutive days below the MDS value set by the legislature, administration</w:t>
      </w:r>
      <w:r w:rsidR="001D4F1F" w:rsidRPr="007F25A3">
        <w:rPr>
          <w:rFonts w:ascii="Segoe UI" w:hAnsi="Segoe UI" w:cs="Segoe UI"/>
        </w:rPr>
        <w:t xml:space="preserve"> of water appropriations with a priority date after April 12, 1984</w:t>
      </w:r>
      <w:r w:rsidR="00A57222" w:rsidRPr="007F25A3">
        <w:rPr>
          <w:rFonts w:ascii="Segoe UI" w:hAnsi="Segoe UI" w:cs="Segoe UI"/>
        </w:rPr>
        <w:t xml:space="preserve"> can begin and will not cease until the gage has recorded fourteen consecutive days above the MDS value.  The </w:t>
      </w:r>
      <w:r w:rsidR="00F8357F" w:rsidRPr="007F25A3">
        <w:rPr>
          <w:rFonts w:ascii="Segoe UI" w:hAnsi="Segoe UI" w:cs="Segoe UI"/>
        </w:rPr>
        <w:t>c</w:t>
      </w:r>
      <w:r w:rsidR="00A57222" w:rsidRPr="007F25A3">
        <w:rPr>
          <w:rFonts w:ascii="Segoe UI" w:hAnsi="Segoe UI" w:cs="Segoe UI"/>
        </w:rPr>
        <w:t xml:space="preserve">hief </w:t>
      </w:r>
      <w:r w:rsidR="00F8357F" w:rsidRPr="007F25A3">
        <w:rPr>
          <w:rFonts w:ascii="Segoe UI" w:hAnsi="Segoe UI" w:cs="Segoe UI"/>
        </w:rPr>
        <w:t>e</w:t>
      </w:r>
      <w:r w:rsidR="00A57222" w:rsidRPr="007F25A3">
        <w:rPr>
          <w:rFonts w:ascii="Segoe UI" w:hAnsi="Segoe UI" w:cs="Segoe UI"/>
        </w:rPr>
        <w:t>ngineer can prohibit the use of certain diversion</w:t>
      </w:r>
      <w:r w:rsidR="00FE3C2C" w:rsidRPr="007F25A3">
        <w:rPr>
          <w:rFonts w:ascii="Segoe UI" w:hAnsi="Segoe UI" w:cs="Segoe UI"/>
        </w:rPr>
        <w:t>s</w:t>
      </w:r>
      <w:r w:rsidR="00A57222" w:rsidRPr="007F25A3">
        <w:rPr>
          <w:rFonts w:ascii="Segoe UI" w:hAnsi="Segoe UI" w:cs="Segoe UI"/>
        </w:rPr>
        <w:t xml:space="preserve"> for this period if they are affecting streamflow.  </w:t>
      </w:r>
      <w:r w:rsidR="003D0243" w:rsidRPr="007F25A3">
        <w:rPr>
          <w:rFonts w:ascii="Segoe UI" w:hAnsi="Segoe UI" w:cs="Segoe UI"/>
        </w:rPr>
        <w:t xml:space="preserve">The </w:t>
      </w:r>
      <w:r w:rsidRPr="007F25A3">
        <w:rPr>
          <w:rFonts w:ascii="Segoe UI" w:hAnsi="Segoe UI" w:cs="Segoe UI"/>
        </w:rPr>
        <w:t xml:space="preserve">Zenith streamflow gage </w:t>
      </w:r>
      <w:r w:rsidR="003D0243" w:rsidRPr="007F25A3">
        <w:rPr>
          <w:rFonts w:ascii="Segoe UI" w:hAnsi="Segoe UI" w:cs="Segoe UI"/>
        </w:rPr>
        <w:t>is a MDS gag</w:t>
      </w:r>
      <w:r w:rsidR="00F8357F" w:rsidRPr="007F25A3">
        <w:rPr>
          <w:rFonts w:ascii="Segoe UI" w:hAnsi="Segoe UI" w:cs="Segoe UI"/>
        </w:rPr>
        <w:t>e</w:t>
      </w:r>
      <w:r w:rsidR="003D0243" w:rsidRPr="007F25A3">
        <w:rPr>
          <w:rFonts w:ascii="Segoe UI" w:hAnsi="Segoe UI" w:cs="Segoe UI"/>
        </w:rPr>
        <w:t xml:space="preserve"> station </w:t>
      </w:r>
      <w:r w:rsidRPr="007F25A3">
        <w:rPr>
          <w:rFonts w:ascii="Segoe UI" w:hAnsi="Segoe UI" w:cs="Segoe UI"/>
        </w:rPr>
        <w:t>(</w:t>
      </w:r>
      <w:r w:rsidR="00873CB7" w:rsidRPr="005511A3">
        <w:fldChar w:fldCharType="begin"/>
      </w:r>
      <w:r w:rsidR="00873CB7" w:rsidRPr="005511A3">
        <w:instrText xml:space="preserve"> REF _Ref198956680 \h </w:instrText>
      </w:r>
      <w:r w:rsidR="007F25A3" w:rsidRPr="005511A3">
        <w:instrText xml:space="preserve"> \* MERGEFORMAT </w:instrText>
      </w:r>
      <w:r w:rsidR="00873CB7" w:rsidRPr="005511A3">
        <w:fldChar w:fldCharType="separate"/>
      </w:r>
      <w:r w:rsidR="00FC22DA" w:rsidRPr="00FC22DA">
        <w:rPr>
          <w:rFonts w:ascii="Segoe UI" w:hAnsi="Segoe UI" w:cs="Segoe UI"/>
        </w:rPr>
        <w:t xml:space="preserve">Table </w:t>
      </w:r>
      <w:r w:rsidR="00FC22DA" w:rsidRPr="00FC22DA">
        <w:rPr>
          <w:rFonts w:ascii="Segoe UI" w:hAnsi="Segoe UI" w:cs="Segoe UI"/>
          <w:noProof/>
        </w:rPr>
        <w:t>1</w:t>
      </w:r>
      <w:r w:rsidR="00873CB7" w:rsidRPr="005511A3">
        <w:fldChar w:fldCharType="end"/>
      </w:r>
      <w:r w:rsidRPr="007F25A3">
        <w:rPr>
          <w:rFonts w:ascii="Segoe UI" w:hAnsi="Segoe UI" w:cs="Segoe UI"/>
        </w:rPr>
        <w:t xml:space="preserve">).  </w:t>
      </w:r>
    </w:p>
    <w:p w:rsidR="00B96A19" w:rsidRPr="007F25A3" w:rsidRDefault="00873CB7" w:rsidP="00873CB7">
      <w:pPr>
        <w:pStyle w:val="Caption"/>
        <w:rPr>
          <w:rFonts w:cs="Segoe UI"/>
        </w:rPr>
      </w:pPr>
      <w:bookmarkStart w:id="41" w:name="_Ref198956680"/>
      <w:bookmarkStart w:id="42" w:name="_Toc232840575"/>
      <w:bookmarkStart w:id="43" w:name="_Toc323648723"/>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1</w:t>
      </w:r>
      <w:r w:rsidRPr="007F25A3">
        <w:rPr>
          <w:rFonts w:cs="Segoe UI"/>
        </w:rPr>
        <w:fldChar w:fldCharType="end"/>
      </w:r>
      <w:bookmarkEnd w:id="41"/>
      <w:r w:rsidRPr="007F25A3">
        <w:rPr>
          <w:rFonts w:cs="Segoe UI"/>
        </w:rPr>
        <w:t>: MDS values for Zenith gage</w:t>
      </w:r>
      <w:r w:rsidR="00FE3C2C" w:rsidRPr="007F25A3">
        <w:rPr>
          <w:rFonts w:cs="Segoe UI"/>
        </w:rPr>
        <w:t xml:space="preserve"> (cfs)</w:t>
      </w:r>
      <w:bookmarkEnd w:id="42"/>
      <w:bookmarkEnd w:id="43"/>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rsidTr="00E202D8">
        <w:tc>
          <w:tcPr>
            <w:tcW w:w="8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rsidTr="00E202D8">
        <w:tc>
          <w:tcPr>
            <w:tcW w:w="857" w:type="dxa"/>
            <w:shd w:val="clear" w:color="auto" w:fill="auto"/>
          </w:tcPr>
          <w:p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r>
    </w:tbl>
    <w:p w:rsidR="00873CB7" w:rsidRPr="007F25A3" w:rsidRDefault="00873CB7" w:rsidP="00B96A19">
      <w:pPr>
        <w:rPr>
          <w:rFonts w:ascii="Segoe UI" w:hAnsi="Segoe UI" w:cs="Segoe UI"/>
        </w:rPr>
      </w:pPr>
    </w:p>
    <w:p w:rsidR="003C121F" w:rsidRDefault="003074BF" w:rsidP="00B96A19">
      <w:pPr>
        <w:rPr>
          <w:rFonts w:ascii="Segoe UI" w:hAnsi="Segoe UI" w:cs="Segoe UI"/>
        </w:rPr>
      </w:pPr>
      <w:r w:rsidRPr="007F25A3">
        <w:rPr>
          <w:rFonts w:ascii="Segoe UI" w:hAnsi="Segoe UI" w:cs="Segoe UI"/>
        </w:rPr>
        <w:t>MDS has never been administered at the Zenith gage even though streamflow has fallen below MDS criteri</w:t>
      </w:r>
      <w:r w:rsidR="008A60D8" w:rsidRPr="007F25A3">
        <w:rPr>
          <w:rFonts w:ascii="Segoe UI" w:hAnsi="Segoe UI" w:cs="Segoe UI"/>
        </w:rPr>
        <w:t>on</w:t>
      </w:r>
      <w:r w:rsidR="00056D57" w:rsidRPr="007F25A3">
        <w:rPr>
          <w:rFonts w:ascii="Segoe UI" w:hAnsi="Segoe UI" w:cs="Segoe UI"/>
        </w:rPr>
        <w:t xml:space="preserve">.  This is </w:t>
      </w:r>
      <w:r w:rsidR="00FE3C2C" w:rsidRPr="007F25A3">
        <w:rPr>
          <w:rFonts w:ascii="Segoe UI" w:hAnsi="Segoe UI" w:cs="Segoe UI"/>
        </w:rPr>
        <w:t>due to the complexity of the stream-aquifer interaction of the area</w:t>
      </w:r>
      <w:r w:rsidR="00056D57" w:rsidRPr="007F25A3">
        <w:rPr>
          <w:rFonts w:ascii="Segoe UI" w:hAnsi="Segoe UI" w:cs="Segoe UI"/>
        </w:rPr>
        <w:t xml:space="preserve"> making it difficult </w:t>
      </w:r>
      <w:r w:rsidR="00D56CCC" w:rsidRPr="007F25A3">
        <w:rPr>
          <w:rFonts w:ascii="Segoe UI" w:hAnsi="Segoe UI" w:cs="Segoe UI"/>
        </w:rPr>
        <w:t>to</w:t>
      </w:r>
      <w:r w:rsidR="00056D57" w:rsidRPr="007F25A3">
        <w:rPr>
          <w:rFonts w:ascii="Segoe UI" w:hAnsi="Segoe UI" w:cs="Segoe UI"/>
        </w:rPr>
        <w:t xml:space="preserve"> determine which diversions would have a direct effect on streamflow.  </w:t>
      </w:r>
      <w:r w:rsidR="00D04F39">
        <w:rPr>
          <w:rFonts w:ascii="Segoe UI" w:hAnsi="Segoe UI" w:cs="Segoe UI"/>
        </w:rPr>
        <w:t xml:space="preserve">The GMD5 model </w:t>
      </w:r>
      <w:r w:rsidR="00791F65">
        <w:rPr>
          <w:rFonts w:ascii="Segoe UI" w:hAnsi="Segoe UI" w:cs="Segoe UI"/>
        </w:rPr>
        <w:t>may be able to help with these determinations</w:t>
      </w:r>
      <w:r w:rsidR="003C121F">
        <w:rPr>
          <w:rFonts w:ascii="Segoe UI" w:hAnsi="Segoe UI" w:cs="Segoe UI"/>
        </w:rPr>
        <w:t>, but has not yet been used to do so</w:t>
      </w:r>
      <w:r w:rsidR="00D04F39">
        <w:rPr>
          <w:rFonts w:ascii="Segoe UI" w:hAnsi="Segoe UI" w:cs="Segoe UI"/>
        </w:rPr>
        <w:t xml:space="preserve">.  </w:t>
      </w:r>
    </w:p>
    <w:p w:rsidR="003C121F" w:rsidRDefault="003C121F" w:rsidP="00B96A19">
      <w:pPr>
        <w:rPr>
          <w:rFonts w:ascii="Segoe UI" w:hAnsi="Segoe UI" w:cs="Segoe UI"/>
        </w:rPr>
      </w:pPr>
    </w:p>
    <w:p w:rsidR="001704A0" w:rsidRPr="007F25A3" w:rsidRDefault="000F30F2" w:rsidP="00B96A19">
      <w:pPr>
        <w:rPr>
          <w:rFonts w:ascii="Segoe UI" w:hAnsi="Segoe UI" w:cs="Segoe UI"/>
        </w:rPr>
      </w:pPr>
      <w:r>
        <w:rPr>
          <w:rFonts w:ascii="Segoe UI" w:hAnsi="Segoe UI" w:cs="Segoe UI"/>
        </w:rPr>
        <w:t xml:space="preserve">The beginning years, 2009 and 2010, of the third </w:t>
      </w:r>
      <w:r w:rsidR="009F162B">
        <w:rPr>
          <w:rFonts w:ascii="Segoe UI" w:hAnsi="Segoe UI" w:cs="Segoe UI"/>
        </w:rPr>
        <w:t>4</w:t>
      </w:r>
      <w:r>
        <w:rPr>
          <w:rFonts w:ascii="Segoe UI" w:hAnsi="Segoe UI" w:cs="Segoe UI"/>
        </w:rPr>
        <w:t xml:space="preserve">-year review maintained MDS at the Zenith gage.  In 2011, </w:t>
      </w:r>
      <w:r w:rsidR="00F8724E">
        <w:rPr>
          <w:rFonts w:ascii="Segoe UI" w:hAnsi="Segoe UI" w:cs="Segoe UI"/>
        </w:rPr>
        <w:t>the</w:t>
      </w:r>
      <w:r>
        <w:rPr>
          <w:rFonts w:ascii="Segoe UI" w:hAnsi="Segoe UI" w:cs="Segoe UI"/>
        </w:rPr>
        <w:t xml:space="preserve"> Zenith gage only met MDS criterion for 48% of the year </w:t>
      </w:r>
      <w:r w:rsidR="00476108" w:rsidRPr="007F25A3">
        <w:rPr>
          <w:rFonts w:ascii="Segoe UI" w:hAnsi="Segoe UI" w:cs="Segoe UI"/>
        </w:rPr>
        <w:t>(</w:t>
      </w:r>
      <w:r w:rsidR="00002947">
        <w:fldChar w:fldCharType="begin"/>
      </w:r>
      <w:r w:rsidR="00002947">
        <w:instrText xml:space="preserve"> REF _Ref204754393 \h  \* MERGEFORMAT </w:instrText>
      </w:r>
      <w:r w:rsidR="00002947">
        <w:fldChar w:fldCharType="separate"/>
      </w:r>
      <w:r w:rsidR="00FC22DA" w:rsidRPr="00FC22DA">
        <w:rPr>
          <w:rFonts w:ascii="Segoe UI" w:hAnsi="Segoe UI" w:cs="Segoe UI"/>
        </w:rPr>
        <w:t>Figure 5</w:t>
      </w:r>
      <w:r w:rsidR="00002947">
        <w:fldChar w:fldCharType="end"/>
      </w:r>
      <w:r w:rsidR="00476108" w:rsidRPr="007F25A3">
        <w:rPr>
          <w:rFonts w:ascii="Segoe UI" w:hAnsi="Segoe UI" w:cs="Segoe UI"/>
        </w:rPr>
        <w:t>).</w:t>
      </w:r>
      <w:r w:rsidR="00DE019F" w:rsidRPr="007F25A3">
        <w:rPr>
          <w:rFonts w:ascii="Segoe UI" w:hAnsi="Segoe UI" w:cs="Segoe UI"/>
        </w:rPr>
        <w:t xml:space="preserve">  </w:t>
      </w:r>
    </w:p>
    <w:p w:rsidR="001704A0" w:rsidRPr="007F25A3" w:rsidRDefault="001704A0" w:rsidP="00B96A19">
      <w:pPr>
        <w:rPr>
          <w:rFonts w:ascii="Segoe UI" w:hAnsi="Segoe UI" w:cs="Segoe UI"/>
        </w:rPr>
      </w:pPr>
    </w:p>
    <w:p w:rsidR="00C91AC6" w:rsidRDefault="00CE2AD3" w:rsidP="00C91AC6">
      <w:pPr>
        <w:keepNext/>
      </w:pPr>
      <w:r>
        <w:rPr>
          <w:noProof/>
        </w:rPr>
        <w:drawing>
          <wp:inline distT="0" distB="0" distL="0" distR="0" wp14:anchorId="31F778A7" wp14:editId="7DDC5F07">
            <wp:extent cx="5905500" cy="3781425"/>
            <wp:effectExtent l="0" t="0" r="19050" b="9525"/>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4F39" w:rsidRPr="007F25A3" w:rsidRDefault="00D04F39" w:rsidP="00C91AC6">
      <w:pPr>
        <w:keepNext/>
        <w:rPr>
          <w:rFonts w:ascii="Segoe UI" w:hAnsi="Segoe UI" w:cs="Segoe UI"/>
        </w:rPr>
      </w:pPr>
    </w:p>
    <w:p w:rsidR="00DC495D" w:rsidRPr="007F25A3" w:rsidRDefault="00C91AC6" w:rsidP="00DC495D">
      <w:pPr>
        <w:pStyle w:val="Caption"/>
        <w:rPr>
          <w:rFonts w:cs="Segoe UI"/>
          <w:i/>
          <w:iCs/>
        </w:rPr>
      </w:pPr>
      <w:bookmarkStart w:id="44" w:name="_Ref204754393"/>
      <w:bookmarkStart w:id="45" w:name="_Toc33572122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5</w:t>
      </w:r>
      <w:r w:rsidRPr="007F25A3">
        <w:rPr>
          <w:rFonts w:cs="Segoe UI"/>
        </w:rPr>
        <w:fldChar w:fldCharType="end"/>
      </w:r>
      <w:bookmarkEnd w:id="44"/>
      <w:r w:rsidRPr="007F25A3">
        <w:rPr>
          <w:rFonts w:cs="Segoe UI"/>
        </w:rPr>
        <w:t xml:space="preserve">: Zenith </w:t>
      </w:r>
      <w:r w:rsidR="00754A0A" w:rsidRPr="007F25A3">
        <w:rPr>
          <w:rFonts w:cs="Segoe UI"/>
        </w:rPr>
        <w:t>Streamflow and MDS</w:t>
      </w:r>
      <w:bookmarkEnd w:id="45"/>
    </w:p>
    <w:p w:rsidR="00C67BDF" w:rsidRDefault="00C67BDF">
      <w:pPr>
        <w:rPr>
          <w:rFonts w:ascii="Segoe UI" w:hAnsi="Segoe UI" w:cs="Segoe UI"/>
          <w:b/>
          <w:bCs/>
          <w:iCs/>
          <w:sz w:val="28"/>
          <w:szCs w:val="28"/>
        </w:rPr>
      </w:pPr>
      <w:bookmarkStart w:id="46" w:name="_Toc213563387"/>
    </w:p>
    <w:p w:rsidR="006F10C8" w:rsidRDefault="00135315" w:rsidP="006F10C8">
      <w:pPr>
        <w:pStyle w:val="Heading2"/>
        <w:rPr>
          <w:rFonts w:ascii="Segoe UI" w:hAnsi="Segoe UI" w:cs="Segoe UI"/>
          <w:i w:val="0"/>
        </w:rPr>
      </w:pPr>
      <w:bookmarkStart w:id="47" w:name="_Toc334007512"/>
      <w:r w:rsidRPr="007F25A3">
        <w:rPr>
          <w:rFonts w:ascii="Segoe UI" w:hAnsi="Segoe UI" w:cs="Segoe UI"/>
          <w:i w:val="0"/>
        </w:rPr>
        <w:lastRenderedPageBreak/>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46"/>
      <w:bookmarkEnd w:id="47"/>
    </w:p>
    <w:p w:rsidR="00C67BDF" w:rsidRDefault="00CE2AD3" w:rsidP="00C67BDF">
      <w:pPr>
        <w:jc w:val="center"/>
      </w:pPr>
      <w:r>
        <w:rPr>
          <w:rFonts w:ascii="Segoe UI" w:hAnsi="Segoe UI" w:cs="Segoe UI"/>
          <w:noProof/>
        </w:rPr>
        <w:drawing>
          <wp:inline distT="0" distB="0" distL="0" distR="0">
            <wp:extent cx="6278245" cy="4845050"/>
            <wp:effectExtent l="0" t="0" r="8255" b="0"/>
            <wp:docPr id="10"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245" cy="4845050"/>
                    </a:xfrm>
                    <a:prstGeom prst="rect">
                      <a:avLst/>
                    </a:prstGeom>
                    <a:noFill/>
                    <a:ln>
                      <a:noFill/>
                    </a:ln>
                  </pic:spPr>
                </pic:pic>
              </a:graphicData>
            </a:graphic>
          </wp:inline>
        </w:drawing>
      </w:r>
    </w:p>
    <w:p w:rsidR="00C67BDF" w:rsidRPr="007F25A3" w:rsidRDefault="00C67BDF" w:rsidP="00C67BDF">
      <w:pPr>
        <w:pStyle w:val="Caption"/>
        <w:rPr>
          <w:rFonts w:cs="Segoe UI"/>
        </w:rPr>
      </w:pPr>
      <w:bookmarkStart w:id="48" w:name="_Ref322957510"/>
      <w:bookmarkStart w:id="49" w:name="_Toc335721230"/>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6</w:t>
      </w:r>
      <w:r w:rsidRPr="007F25A3">
        <w:rPr>
          <w:rFonts w:cs="Segoe UI"/>
        </w:rPr>
        <w:fldChar w:fldCharType="end"/>
      </w:r>
      <w:bookmarkEnd w:id="48"/>
      <w:r w:rsidRPr="007F25A3">
        <w:rPr>
          <w:rFonts w:cs="Segoe UI"/>
        </w:rPr>
        <w:t xml:space="preserve">: Priority Areas and Monitoring </w:t>
      </w:r>
      <w:r>
        <w:rPr>
          <w:rFonts w:cs="Segoe UI"/>
        </w:rPr>
        <w:t xml:space="preserve">Well </w:t>
      </w:r>
      <w:r w:rsidRPr="007F25A3">
        <w:rPr>
          <w:rFonts w:cs="Segoe UI"/>
        </w:rPr>
        <w:t>Network</w:t>
      </w:r>
      <w:bookmarkEnd w:id="49"/>
    </w:p>
    <w:p w:rsidR="00C67BDF" w:rsidRPr="00C67BDF" w:rsidRDefault="00C67BDF" w:rsidP="00C67BDF"/>
    <w:p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FB50E2">
        <w:fldChar w:fldCharType="begin"/>
      </w:r>
      <w:r w:rsidR="00FB50E2">
        <w:instrText xml:space="preserve"> REF _Ref322957510 \h  \* MERGEFORMAT </w:instrText>
      </w:r>
      <w:r w:rsidR="00FB50E2">
        <w:fldChar w:fldCharType="separate"/>
      </w:r>
      <w:r w:rsidR="00FC22DA" w:rsidRPr="00FC22DA">
        <w:t xml:space="preserve">Figure </w:t>
      </w:r>
      <w:r w:rsidR="00FC22DA" w:rsidRPr="00FC22DA">
        <w:rPr>
          <w:noProof/>
        </w:rPr>
        <w:t>6</w:t>
      </w:r>
      <w:r w:rsidR="00FB50E2">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p>
    <w:p w:rsidR="002F5039" w:rsidRPr="007F25A3" w:rsidRDefault="002F5039" w:rsidP="00CF11AA">
      <w:pPr>
        <w:rPr>
          <w:rFonts w:ascii="Segoe UI" w:hAnsi="Segoe UI" w:cs="Segoe UI"/>
        </w:rPr>
      </w:pPr>
    </w:p>
    <w:p w:rsidR="00885CD4" w:rsidRDefault="00D137E5" w:rsidP="00FB50E2">
      <w:pPr>
        <w:pStyle w:val="NoSpacing"/>
      </w:pPr>
      <w:r w:rsidRPr="007F25A3">
        <w:t>The basin</w:t>
      </w:r>
      <w:r w:rsidR="00A40416">
        <w:t xml:space="preserve">wide groundwater </w:t>
      </w:r>
      <w:r w:rsidR="003C121F">
        <w:t xml:space="preserve">level </w:t>
      </w:r>
      <w:r w:rsidR="00A40416">
        <w:t>average in 2009</w:t>
      </w:r>
      <w:r w:rsidRPr="007F25A3">
        <w:t xml:space="preserve"> showed an increase of 0.</w:t>
      </w:r>
      <w:r w:rsidR="00A40416">
        <w:t>55</w:t>
      </w:r>
      <w:r w:rsidRPr="007F25A3">
        <w:t xml:space="preserve"> feet (</w:t>
      </w:r>
      <w:r w:rsidR="00FB50E2">
        <w:fldChar w:fldCharType="begin"/>
      </w:r>
      <w:r w:rsidR="00FB50E2">
        <w:instrText xml:space="preserve"> REF _Ref322957540 \h  \* MERGEFORMAT </w:instrText>
      </w:r>
      <w:r w:rsidR="00FB50E2">
        <w:fldChar w:fldCharType="separate"/>
      </w:r>
      <w:r w:rsidR="00FC22DA" w:rsidRPr="00FC22DA">
        <w:t xml:space="preserve">Table </w:t>
      </w:r>
      <w:r w:rsidR="00FC22DA" w:rsidRPr="00FC22DA">
        <w:rPr>
          <w:noProof/>
        </w:rPr>
        <w:t>2</w:t>
      </w:r>
      <w:r w:rsidR="00FB50E2">
        <w:fldChar w:fldCharType="end"/>
      </w:r>
      <w:r w:rsidRPr="007F25A3">
        <w:t xml:space="preserve">).  </w:t>
      </w:r>
      <w:r w:rsidR="00D90BFD" w:rsidRPr="007F25A3">
        <w:t>The following year</w:t>
      </w:r>
      <w:r w:rsidR="003C121F">
        <w:t xml:space="preserve"> levels</w:t>
      </w:r>
      <w:r w:rsidR="00D90BFD" w:rsidRPr="007F25A3">
        <w:t xml:space="preserve">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w:t>
      </w:r>
      <w:r w:rsidR="00485513">
        <w:t xml:space="preserve">levels </w:t>
      </w:r>
      <w:r w:rsidR="00D90BFD" w:rsidRPr="007F25A3">
        <w:t xml:space="preserve">showed </w:t>
      </w:r>
      <w:r w:rsidR="00A40416">
        <w:t>an average decline of</w:t>
      </w:r>
      <w:r w:rsidR="00B92F63" w:rsidRPr="007F25A3">
        <w:t xml:space="preserve"> </w:t>
      </w:r>
      <w:r w:rsidR="00A40416">
        <w:t>0.56</w:t>
      </w:r>
      <w:r w:rsidR="00D90BFD" w:rsidRPr="007F25A3">
        <w:t xml:space="preserve"> feet</w:t>
      </w:r>
      <w:r w:rsidR="004A6E3B">
        <w:t xml:space="preserve"> then </w:t>
      </w:r>
      <w:r w:rsidR="003C121F">
        <w:t>worsened to</w:t>
      </w:r>
      <w:r w:rsidR="00EC6479">
        <w:t xml:space="preserve"> an average </w:t>
      </w:r>
      <w:r w:rsidR="004A6E3B">
        <w:t xml:space="preserve">decline of </w:t>
      </w:r>
      <w:r w:rsidR="00EC6479">
        <w:t>3.11 feet</w:t>
      </w:r>
      <w:r w:rsidR="004A6E3B">
        <w:t xml:space="preserve"> in 2012</w:t>
      </w:r>
      <w:r w:rsidR="00EC6479">
        <w:t xml:space="preserve">.  The largest declines </w:t>
      </w:r>
      <w:r w:rsidR="003C121F">
        <w:t xml:space="preserve">from 2011-2012 </w:t>
      </w:r>
      <w:r w:rsidR="00EC6479">
        <w:t xml:space="preserve">were in Priority Area 4S (4.0 ft) while the smallest declines were located in Priority Area 7 (2.16 ft).  </w:t>
      </w:r>
      <w:bookmarkStart w:id="50" w:name="_Ref198458911"/>
      <w:bookmarkStart w:id="51" w:name="_Ref216139887"/>
      <w:bookmarkStart w:id="52" w:name="_Ref204756927"/>
      <w:bookmarkStart w:id="53" w:name="_Ref204756930"/>
      <w:bookmarkStart w:id="54" w:name="_Toc232840576"/>
    </w:p>
    <w:p w:rsidR="00C67BDF" w:rsidRDefault="00C67BDF" w:rsidP="00885CD4">
      <w:pPr>
        <w:rPr>
          <w:rFonts w:ascii="Segoe UI" w:hAnsi="Segoe UI" w:cs="Segoe UI"/>
        </w:rPr>
      </w:pPr>
      <w:bookmarkStart w:id="55" w:name="_Ref247342481"/>
    </w:p>
    <w:p w:rsidR="00EE24C7" w:rsidRPr="00885CD4" w:rsidRDefault="00EE24C7" w:rsidP="00885CD4">
      <w:pPr>
        <w:pStyle w:val="Caption"/>
        <w:rPr>
          <w:rFonts w:cs="Segoe UI"/>
        </w:rPr>
      </w:pPr>
      <w:bookmarkStart w:id="56" w:name="_Ref322957540"/>
      <w:bookmarkStart w:id="57" w:name="_Toc323648724"/>
      <w:r w:rsidRPr="00885CD4">
        <w:rPr>
          <w:rFonts w:cs="Segoe UI"/>
        </w:rPr>
        <w:lastRenderedPageBreak/>
        <w:t xml:space="preserve">Table </w:t>
      </w:r>
      <w:r w:rsidRPr="00885CD4">
        <w:rPr>
          <w:rFonts w:cs="Segoe UI"/>
        </w:rPr>
        <w:fldChar w:fldCharType="begin"/>
      </w:r>
      <w:r w:rsidRPr="00885CD4">
        <w:rPr>
          <w:rFonts w:cs="Segoe UI"/>
        </w:rPr>
        <w:instrText xml:space="preserve"> SEQ Table \* ARABIC </w:instrText>
      </w:r>
      <w:r w:rsidRPr="00885CD4">
        <w:rPr>
          <w:rFonts w:cs="Segoe UI"/>
        </w:rPr>
        <w:fldChar w:fldCharType="separate"/>
      </w:r>
      <w:r w:rsidR="00FC22DA">
        <w:rPr>
          <w:rFonts w:cs="Segoe UI"/>
          <w:noProof/>
        </w:rPr>
        <w:t>2</w:t>
      </w:r>
      <w:r w:rsidRPr="00885CD4">
        <w:rPr>
          <w:rFonts w:cs="Segoe UI"/>
        </w:rPr>
        <w:fldChar w:fldCharType="end"/>
      </w:r>
      <w:bookmarkEnd w:id="50"/>
      <w:bookmarkEnd w:id="51"/>
      <w:bookmarkEnd w:id="55"/>
      <w:bookmarkEnd w:id="56"/>
      <w:r w:rsidRPr="00885CD4">
        <w:rPr>
          <w:rFonts w:cs="Segoe UI"/>
        </w:rPr>
        <w:t>: Average water level change by priority area</w:t>
      </w:r>
      <w:bookmarkEnd w:id="52"/>
      <w:bookmarkEnd w:id="53"/>
      <w:bookmarkEnd w:id="54"/>
      <w:bookmarkEnd w:id="57"/>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826"/>
        <w:gridCol w:w="826"/>
        <w:gridCol w:w="826"/>
        <w:gridCol w:w="826"/>
        <w:gridCol w:w="826"/>
        <w:gridCol w:w="826"/>
        <w:gridCol w:w="826"/>
        <w:gridCol w:w="826"/>
        <w:gridCol w:w="940"/>
      </w:tblGrid>
      <w:tr w:rsidR="00F27AA9" w:rsidRPr="00F27AA9" w:rsidTr="004129FD">
        <w:trPr>
          <w:trHeight w:val="250"/>
        </w:trPr>
        <w:tc>
          <w:tcPr>
            <w:tcW w:w="1033"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826"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rsidTr="004129FD">
        <w:trPr>
          <w:trHeight w:val="250"/>
        </w:trPr>
        <w:tc>
          <w:tcPr>
            <w:tcW w:w="1033" w:type="dxa"/>
            <w:noWrap/>
            <w:hideMark/>
          </w:tcPr>
          <w:p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826" w:type="dxa"/>
            <w:noWrap/>
            <w:hideMark/>
          </w:tcPr>
          <w:p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826" w:type="dxa"/>
            <w:noWrap/>
            <w:hideMark/>
          </w:tcPr>
          <w:p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826" w:type="dxa"/>
            <w:noWrap/>
            <w:hideMark/>
          </w:tcPr>
          <w:p w:rsidR="000D1B4C" w:rsidRPr="00F27AA9" w:rsidRDefault="000D1B4C">
            <w:pPr>
              <w:rPr>
                <w:rFonts w:ascii="Segoe UI" w:hAnsi="Segoe UI" w:cs="Segoe UI"/>
                <w:sz w:val="20"/>
                <w:szCs w:val="20"/>
              </w:rPr>
            </w:pP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826" w:type="dxa"/>
            <w:noWrap/>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826" w:type="dxa"/>
            <w:noWrap/>
            <w:hideMark/>
          </w:tcPr>
          <w:p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rsidTr="004129FD">
        <w:trPr>
          <w:trHeight w:val="250"/>
        </w:trPr>
        <w:tc>
          <w:tcPr>
            <w:tcW w:w="1033" w:type="dxa"/>
            <w:noWrap/>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826" w:type="dxa"/>
            <w:noWrap/>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826" w:type="dxa"/>
            <w:noWrap/>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826" w:type="dxa"/>
            <w:noWrap/>
            <w:hideMark/>
          </w:tcPr>
          <w:p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826" w:type="dxa"/>
            <w:noWrap/>
            <w:hideMark/>
          </w:tcPr>
          <w:p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826" w:type="dxa"/>
            <w:noWrap/>
            <w:hideMark/>
          </w:tcPr>
          <w:p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rsidTr="004129FD">
        <w:trPr>
          <w:trHeight w:val="264"/>
        </w:trPr>
        <w:tc>
          <w:tcPr>
            <w:tcW w:w="1033" w:type="dxa"/>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826" w:type="dxa"/>
            <w:noWrap/>
          </w:tcPr>
          <w:p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826" w:type="dxa"/>
            <w:noWrap/>
          </w:tcPr>
          <w:p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rsidTr="004129FD">
        <w:trPr>
          <w:trHeight w:val="246"/>
        </w:trPr>
        <w:tc>
          <w:tcPr>
            <w:tcW w:w="1033" w:type="dxa"/>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826" w:type="dxa"/>
            <w:noWrap/>
          </w:tcPr>
          <w:p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826" w:type="dxa"/>
            <w:noWrap/>
          </w:tcPr>
          <w:p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826" w:type="dxa"/>
            <w:noWrap/>
          </w:tcPr>
          <w:p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826" w:type="dxa"/>
            <w:noWrap/>
          </w:tcPr>
          <w:p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826" w:type="dxa"/>
            <w:noWrap/>
          </w:tcPr>
          <w:p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rsidTr="004129FD">
        <w:trPr>
          <w:trHeight w:val="246"/>
        </w:trPr>
        <w:tc>
          <w:tcPr>
            <w:tcW w:w="1033" w:type="dxa"/>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826" w:type="dxa"/>
            <w:noWrap/>
          </w:tcPr>
          <w:p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826" w:type="dxa"/>
            <w:noWrap/>
          </w:tcPr>
          <w:p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826" w:type="dxa"/>
            <w:noWrap/>
          </w:tcPr>
          <w:p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rsidTr="004129FD">
        <w:trPr>
          <w:trHeight w:val="246"/>
        </w:trPr>
        <w:tc>
          <w:tcPr>
            <w:tcW w:w="1033" w:type="dxa"/>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826" w:type="dxa"/>
            <w:noWrap/>
          </w:tcPr>
          <w:p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826" w:type="dxa"/>
            <w:noWrap/>
          </w:tcPr>
          <w:p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826" w:type="dxa"/>
            <w:noWrap/>
          </w:tcPr>
          <w:p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826" w:type="dxa"/>
            <w:noWrap/>
          </w:tcPr>
          <w:p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826" w:type="dxa"/>
            <w:noWrap/>
          </w:tcPr>
          <w:p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826" w:type="dxa"/>
            <w:noWrap/>
          </w:tcPr>
          <w:p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rsidR="00F0605A" w:rsidRDefault="00F0605A" w:rsidP="00FB50E2">
      <w:pPr>
        <w:pStyle w:val="NoSpacing"/>
      </w:pPr>
    </w:p>
    <w:p w:rsidR="00BE5CF7" w:rsidRDefault="00BA1BAE" w:rsidP="00FB50E2">
      <w:pPr>
        <w:pStyle w:val="NoSpacing"/>
        <w:rPr>
          <w:noProof/>
        </w:rPr>
      </w:pPr>
      <w:r>
        <w:fldChar w:fldCharType="begin"/>
      </w:r>
      <w:r>
        <w:instrText xml:space="preserve"> REF _Ref247342481 \h </w:instrText>
      </w:r>
      <w:r w:rsidR="00FB50E2">
        <w:instrText xml:space="preserve"> \* MERGEFORMAT </w:instrText>
      </w:r>
      <w:r>
        <w:fldChar w:fldCharType="separate"/>
      </w:r>
      <w:r w:rsidR="00FC22DA" w:rsidRPr="00885CD4">
        <w:rPr>
          <w:rFonts w:cs="Segoe UI"/>
        </w:rPr>
        <w:t>Table</w:t>
      </w:r>
      <w:r w:rsidR="00FC22DA" w:rsidRPr="00885CD4">
        <w:rPr>
          <w:rFonts w:cs="Segoe UI"/>
          <w:noProof/>
        </w:rPr>
        <w:t xml:space="preserve"> </w:t>
      </w:r>
      <w:r w:rsidR="00FC22DA">
        <w:rPr>
          <w:rFonts w:cs="Segoe UI"/>
          <w:noProof/>
        </w:rPr>
        <w:t>2</w:t>
      </w:r>
      <w:r>
        <w:fldChar w:fldCharType="end"/>
      </w:r>
      <w:r>
        <w:t xml:space="preserve"> shows the average annual change in water levels sta</w:t>
      </w:r>
      <w:r w:rsidR="006637AC">
        <w:t xml:space="preserve">rting in </w:t>
      </w:r>
      <w:r w:rsidR="005C0FF0">
        <w:t>2001</w:t>
      </w:r>
      <w:r w:rsidR="001958DB">
        <w:t>.</w:t>
      </w:r>
      <w:r w:rsidR="00147669">
        <w:t xml:space="preserve">  </w:t>
      </w:r>
      <w:r w:rsidR="006637AC">
        <w:t>The change between 2008 and 2009 water levels had a rise in all the priority areas except for PA1, which had a slight decline of 0.01 feet.  In 2010, water levels did rise in all the priority areas.  In 2011 only PA</w:t>
      </w:r>
      <w:r w:rsidR="00AE3549">
        <w:t>5 had an increase in water levels.  In 2012, the decline continued.  In fact</w:t>
      </w:r>
      <w:r w:rsidR="00485513">
        <w:t>,</w:t>
      </w:r>
      <w:r w:rsidR="00AE3549">
        <w:t xml:space="preserve"> 2012 had some of the highest declines during the period of record with an average decline of 3.11 feet.  </w:t>
      </w:r>
      <w:r w:rsidR="0083306C">
        <w:fldChar w:fldCharType="begin"/>
      </w:r>
      <w:r w:rsidR="00AE3549">
        <w:instrText xml:space="preserve"> REF _Ref198517075 \h </w:instrText>
      </w:r>
      <w:r w:rsidR="0083306C">
        <w:fldChar w:fldCharType="separate"/>
      </w:r>
      <w:r w:rsidR="00FC22DA" w:rsidRPr="007F25A3">
        <w:rPr>
          <w:rFonts w:cs="Segoe UI"/>
        </w:rPr>
        <w:t xml:space="preserve">Figure </w:t>
      </w:r>
      <w:r w:rsidR="00FC22DA">
        <w:rPr>
          <w:rFonts w:cs="Segoe UI"/>
          <w:noProof/>
        </w:rPr>
        <w:t>7</w:t>
      </w:r>
      <w:r w:rsidR="0083306C">
        <w:fldChar w:fldCharType="end"/>
      </w:r>
      <w:r w:rsidR="00AE3549">
        <w:t xml:space="preserve"> charts the annual change for each priority area. </w:t>
      </w:r>
      <w:r w:rsidR="005C0FF0">
        <w:t xml:space="preserve"> </w:t>
      </w:r>
      <w:r w:rsidR="0083306C">
        <w:fldChar w:fldCharType="begin"/>
      </w:r>
      <w:r w:rsidR="005C0FF0">
        <w:instrText xml:space="preserve"> REF _Ref322615971 \h </w:instrText>
      </w:r>
      <w:r w:rsidR="0083306C">
        <w:fldChar w:fldCharType="separate"/>
      </w:r>
      <w:r w:rsidR="00FC22DA" w:rsidRPr="005C0FF0">
        <w:rPr>
          <w:rFonts w:cs="Segoe UI"/>
        </w:rPr>
        <w:t xml:space="preserve">Figure </w:t>
      </w:r>
      <w:r w:rsidR="00FC22DA">
        <w:rPr>
          <w:rFonts w:cs="Segoe UI"/>
          <w:noProof/>
        </w:rPr>
        <w:t>8</w:t>
      </w:r>
      <w:r w:rsidR="0083306C">
        <w:fldChar w:fldCharType="end"/>
      </w:r>
      <w:r w:rsidR="005C0FF0">
        <w:t xml:space="preserve"> charts the cumulative change of feet by priority area.  </w:t>
      </w:r>
    </w:p>
    <w:p w:rsidR="003B1665" w:rsidRPr="007F25A3" w:rsidRDefault="003B1665" w:rsidP="00911FC2">
      <w:pPr>
        <w:jc w:val="center"/>
        <w:rPr>
          <w:rFonts w:ascii="Segoe UI" w:hAnsi="Segoe UI" w:cs="Segoe UI"/>
        </w:rPr>
      </w:pPr>
    </w:p>
    <w:p w:rsidR="005141BE" w:rsidRPr="007A37BC" w:rsidRDefault="00CE2AD3" w:rsidP="007A37BC">
      <w:pPr>
        <w:jc w:val="center"/>
        <w:rPr>
          <w:rFonts w:ascii="Segoe UI" w:hAnsi="Segoe UI" w:cs="Segoe UI"/>
        </w:rPr>
      </w:pPr>
      <w:r>
        <w:rPr>
          <w:noProof/>
        </w:rPr>
        <w:drawing>
          <wp:inline distT="0" distB="0" distL="0" distR="0" wp14:anchorId="43F38D06" wp14:editId="7175EC21">
            <wp:extent cx="5718412" cy="3248167"/>
            <wp:effectExtent l="0" t="0" r="15875" b="9525"/>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58" w:name="_Ref198517075"/>
      <w:bookmarkStart w:id="59" w:name="_Ref320604036"/>
    </w:p>
    <w:p w:rsidR="00EE24C7" w:rsidRPr="007F25A3" w:rsidRDefault="00EE24C7" w:rsidP="00D759D9">
      <w:pPr>
        <w:pStyle w:val="Caption"/>
        <w:rPr>
          <w:rFonts w:cs="Segoe UI"/>
        </w:rPr>
      </w:pPr>
      <w:bookmarkStart w:id="60" w:name="_Toc335721231"/>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7</w:t>
      </w:r>
      <w:r w:rsidRPr="007F25A3">
        <w:rPr>
          <w:rFonts w:cs="Segoe UI"/>
        </w:rPr>
        <w:fldChar w:fldCharType="end"/>
      </w:r>
      <w:bookmarkEnd w:id="58"/>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59"/>
      <w:bookmarkEnd w:id="60"/>
    </w:p>
    <w:p w:rsidR="00403A1B" w:rsidRDefault="00CE2AD3">
      <w:pPr>
        <w:jc w:val="center"/>
        <w:rPr>
          <w:rFonts w:ascii="Segoe UI" w:hAnsi="Segoe UI" w:cs="Segoe UI"/>
        </w:rPr>
      </w:pPr>
      <w:bookmarkStart w:id="61" w:name="_Toc213563388"/>
      <w:r>
        <w:rPr>
          <w:noProof/>
        </w:rPr>
        <w:lastRenderedPageBreak/>
        <w:drawing>
          <wp:inline distT="0" distB="0" distL="0" distR="0" wp14:anchorId="0FDA99DB" wp14:editId="504D1AEF">
            <wp:extent cx="5445125" cy="3699510"/>
            <wp:effectExtent l="0" t="0" r="22225" b="1524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0FF0" w:rsidRPr="005C0FF0" w:rsidRDefault="005C0FF0" w:rsidP="005C0FF0">
      <w:pPr>
        <w:pStyle w:val="Caption"/>
        <w:rPr>
          <w:rFonts w:cs="Segoe UI"/>
        </w:rPr>
      </w:pPr>
      <w:bookmarkStart w:id="62" w:name="_Ref322615971"/>
      <w:bookmarkStart w:id="63" w:name="_Toc335721232"/>
      <w:r w:rsidRPr="005C0FF0">
        <w:rPr>
          <w:rFonts w:cs="Segoe UI"/>
        </w:rPr>
        <w:t xml:space="preserve">Figure </w:t>
      </w:r>
      <w:r w:rsidRPr="005C0FF0">
        <w:rPr>
          <w:rFonts w:cs="Segoe UI"/>
        </w:rPr>
        <w:fldChar w:fldCharType="begin"/>
      </w:r>
      <w:r w:rsidRPr="005C0FF0">
        <w:rPr>
          <w:rFonts w:cs="Segoe UI"/>
        </w:rPr>
        <w:instrText xml:space="preserve"> SEQ Figure \* ARABIC </w:instrText>
      </w:r>
      <w:r w:rsidRPr="005C0FF0">
        <w:rPr>
          <w:rFonts w:cs="Segoe UI"/>
        </w:rPr>
        <w:fldChar w:fldCharType="separate"/>
      </w:r>
      <w:r w:rsidR="00FC22DA">
        <w:rPr>
          <w:rFonts w:cs="Segoe UI"/>
          <w:noProof/>
        </w:rPr>
        <w:t>8</w:t>
      </w:r>
      <w:r w:rsidRPr="005C0FF0">
        <w:rPr>
          <w:rFonts w:cs="Segoe UI"/>
        </w:rPr>
        <w:fldChar w:fldCharType="end"/>
      </w:r>
      <w:bookmarkEnd w:id="62"/>
      <w:r w:rsidRPr="005C0FF0">
        <w:rPr>
          <w:rFonts w:cs="Segoe UI"/>
        </w:rPr>
        <w:t>: Cumulative Change in Feet since 2000</w:t>
      </w:r>
      <w:bookmarkEnd w:id="63"/>
    </w:p>
    <w:p w:rsidR="005C0FF0" w:rsidRDefault="005C0FF0" w:rsidP="00F711DF">
      <w:pPr>
        <w:rPr>
          <w:rFonts w:ascii="Segoe UI" w:hAnsi="Segoe UI" w:cs="Segoe UI"/>
        </w:rPr>
      </w:pPr>
    </w:p>
    <w:p w:rsidR="00F711DF" w:rsidRDefault="006A77F7" w:rsidP="00FB50E2">
      <w:pPr>
        <w:pStyle w:val="NoSpacing"/>
      </w:pPr>
      <w:r>
        <w:fldChar w:fldCharType="begin"/>
      </w:r>
      <w:r>
        <w:instrText xml:space="preserve"> REF _Ref321290128 \h </w:instrText>
      </w:r>
      <w:r w:rsidR="00FB50E2">
        <w:instrText xml:space="preserve"> \* MERGEFORMAT </w:instrText>
      </w:r>
      <w:r>
        <w:fldChar w:fldCharType="separate"/>
      </w:r>
      <w:r w:rsidR="00FC22DA" w:rsidRPr="00FC22DA">
        <w:t xml:space="preserve">Figure </w:t>
      </w:r>
      <w:r w:rsidR="00FC22DA" w:rsidRPr="00FC22DA">
        <w:rPr>
          <w:noProof/>
        </w:rPr>
        <w:t>9</w:t>
      </w:r>
      <w:r>
        <w:fldChar w:fldCharType="end"/>
      </w:r>
      <w:r>
        <w:t xml:space="preserve"> highlights the change in water levels for the entire implementation period (2001-2012) and for each review period (2001-2004, 2005-2008 and 2009-2012).  The maps were created by plotting monitoring wells with values in the start and end years (i.e. 2001 and 2012) for each map.  The difference in feet between the two years was interpolated employing the kriging method over the subbasin.  On the overall map, additional layers such as county lines, roads and active points of diversion were included.  All four maps have Rattlesnake Creek and the priority areas defined by the Partnership.</w:t>
      </w:r>
    </w:p>
    <w:p w:rsidR="006A77F7" w:rsidRDefault="006A77F7" w:rsidP="00F711DF">
      <w:pPr>
        <w:rPr>
          <w:rFonts w:ascii="Segoe UI" w:hAnsi="Segoe UI" w:cs="Segoe UI"/>
        </w:rPr>
      </w:pPr>
    </w:p>
    <w:p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 xml:space="preserve">–2012 map shows that Rattlesnake Creek subbasin has experienced declines in water levels throughout most of the subbasin.  The subbasin does have pockets of increase in Priority Area 2, near the line of Priority Areas 3 and 5 and Mineral Intrusion Area.  The largest declines (oranges and reds) are located in the upper basin especially throughout Edwards County and northern Kiowa County.  </w:t>
      </w:r>
    </w:p>
    <w:p w:rsidR="00E86CED" w:rsidRDefault="00E86CED" w:rsidP="00F711DF">
      <w:pPr>
        <w:rPr>
          <w:rFonts w:ascii="Segoe UI" w:hAnsi="Segoe UI" w:cs="Segoe UI"/>
        </w:rPr>
      </w:pPr>
    </w:p>
    <w:p w:rsidR="00E86CED" w:rsidRDefault="00E86CED" w:rsidP="00F711DF">
      <w:pPr>
        <w:rPr>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There is also a swath of larger declines in Priority Area 5 and 4S. The lesser declines are in the upper reaches of the subbasin and also in Priority Area 2 and 5.  </w:t>
      </w:r>
    </w:p>
    <w:p w:rsidR="00797F92" w:rsidRDefault="00797F92" w:rsidP="00F711DF">
      <w:pPr>
        <w:rPr>
          <w:rFonts w:ascii="Segoe UI" w:hAnsi="Segoe UI" w:cs="Segoe UI"/>
        </w:rPr>
      </w:pPr>
    </w:p>
    <w:p w:rsidR="00F711DF" w:rsidRDefault="00CE2AD3" w:rsidP="00A16005">
      <w:pPr>
        <w:rPr>
          <w:rFonts w:ascii="Segoe UI" w:hAnsi="Segoe UI" w:cs="Segoe UI"/>
        </w:rPr>
      </w:pPr>
      <w:r>
        <w:rPr>
          <w:rFonts w:ascii="Segoe UI" w:hAnsi="Segoe UI" w:cs="Segoe UI"/>
          <w:noProof/>
        </w:rPr>
        <w:lastRenderedPageBreak/>
        <w:drawing>
          <wp:inline distT="0" distB="0" distL="0" distR="0">
            <wp:extent cx="5991225" cy="7752080"/>
            <wp:effectExtent l="0" t="0" r="9525" b="127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7752080"/>
                    </a:xfrm>
                    <a:prstGeom prst="rect">
                      <a:avLst/>
                    </a:prstGeom>
                    <a:noFill/>
                    <a:ln>
                      <a:noFill/>
                    </a:ln>
                  </pic:spPr>
                </pic:pic>
              </a:graphicData>
            </a:graphic>
          </wp:inline>
        </w:drawing>
      </w:r>
    </w:p>
    <w:p w:rsidR="00F711DF" w:rsidRPr="00EF2D74" w:rsidRDefault="00F711DF" w:rsidP="00EF2D74">
      <w:pPr>
        <w:pStyle w:val="Caption"/>
        <w:rPr>
          <w:rFonts w:cs="Segoe UI"/>
        </w:rPr>
      </w:pPr>
      <w:bookmarkStart w:id="64" w:name="_Ref321290128"/>
      <w:bookmarkStart w:id="65" w:name="_Toc335721233"/>
      <w:r w:rsidRPr="00F711DF">
        <w:rPr>
          <w:rFonts w:cs="Segoe UI"/>
        </w:rPr>
        <w:t xml:space="preserve">Figure </w:t>
      </w:r>
      <w:r w:rsidRPr="00F711DF">
        <w:rPr>
          <w:rFonts w:cs="Segoe UI"/>
        </w:rPr>
        <w:fldChar w:fldCharType="begin"/>
      </w:r>
      <w:r w:rsidRPr="00F711DF">
        <w:rPr>
          <w:rFonts w:cs="Segoe UI"/>
        </w:rPr>
        <w:instrText xml:space="preserve"> SEQ Figure \* ARABIC </w:instrText>
      </w:r>
      <w:r w:rsidRPr="00F711DF">
        <w:rPr>
          <w:rFonts w:cs="Segoe UI"/>
        </w:rPr>
        <w:fldChar w:fldCharType="separate"/>
      </w:r>
      <w:r w:rsidR="00FC22DA">
        <w:rPr>
          <w:rFonts w:cs="Segoe UI"/>
          <w:noProof/>
        </w:rPr>
        <w:t>9</w:t>
      </w:r>
      <w:r w:rsidRPr="00F711DF">
        <w:rPr>
          <w:rFonts w:cs="Segoe UI"/>
        </w:rPr>
        <w:fldChar w:fldCharType="end"/>
      </w:r>
      <w:bookmarkEnd w:id="64"/>
      <w:r w:rsidRPr="00F711DF">
        <w:rPr>
          <w:rFonts w:cs="Segoe UI"/>
        </w:rPr>
        <w:t>: Interpolated Change in Water Levels</w:t>
      </w:r>
      <w:bookmarkEnd w:id="65"/>
    </w:p>
    <w:p w:rsidR="001C4336" w:rsidRPr="007F25A3" w:rsidRDefault="00135315" w:rsidP="005C6388">
      <w:pPr>
        <w:pStyle w:val="Heading2"/>
        <w:rPr>
          <w:rFonts w:ascii="Segoe UI" w:hAnsi="Segoe UI" w:cs="Segoe UI"/>
          <w:i w:val="0"/>
          <w:iCs w:val="0"/>
        </w:rPr>
      </w:pPr>
      <w:bookmarkStart w:id="66" w:name="_Toc334007513"/>
      <w:r w:rsidRPr="007F25A3">
        <w:rPr>
          <w:rFonts w:ascii="Segoe UI" w:hAnsi="Segoe UI" w:cs="Segoe UI"/>
          <w:i w:val="0"/>
          <w:iCs w:val="0"/>
        </w:rPr>
        <w:lastRenderedPageBreak/>
        <w:t>D</w:t>
      </w:r>
      <w:r w:rsidR="001C4336" w:rsidRPr="007F25A3">
        <w:rPr>
          <w:rFonts w:ascii="Segoe UI" w:hAnsi="Segoe UI" w:cs="Segoe UI"/>
          <w:i w:val="0"/>
          <w:iCs w:val="0"/>
        </w:rPr>
        <w:t>. Water Use</w:t>
      </w:r>
      <w:bookmarkEnd w:id="61"/>
      <w:bookmarkEnd w:id="66"/>
    </w:p>
    <w:p w:rsidR="004755A5" w:rsidRDefault="004755A5" w:rsidP="00EE4EB7">
      <w:pPr>
        <w:pStyle w:val="NoSpacing"/>
      </w:pPr>
      <w:r w:rsidRPr="007F25A3">
        <w:t xml:space="preserve">Water Use values and authorized quantities are an estimate based on the available information </w:t>
      </w:r>
      <w:r w:rsidR="00B83EC3">
        <w:t>from</w:t>
      </w:r>
      <w:r w:rsidRPr="007F25A3">
        <w:t xml:space="preserve"> the Kansas Department of Agriculture – Division of Water Resources.  These values could change over time.  </w:t>
      </w:r>
      <w:r w:rsidR="00D245C9" w:rsidRPr="007F25A3">
        <w:t xml:space="preserve">The analysis </w:t>
      </w:r>
      <w:r w:rsidR="003C121F">
        <w:t>included</w:t>
      </w:r>
      <w:r w:rsidR="00D245C9" w:rsidRPr="007F25A3">
        <w:t xml:space="preserve">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w:t>
      </w:r>
      <w:r w:rsidR="003C121F">
        <w:t xml:space="preserve">the </w:t>
      </w:r>
      <w:r w:rsidR="00321145">
        <w:t xml:space="preserve">next year’s (2012) </w:t>
      </w:r>
      <w:r w:rsidR="00EF2D74">
        <w:t>authorized quantity</w:t>
      </w:r>
      <w:r w:rsidR="00321145">
        <w:t xml:space="preserve"> in order to complete the 2011 growing season.</w:t>
      </w:r>
      <w:r w:rsidR="00EF2D74">
        <w:t xml:space="preserve"> </w:t>
      </w:r>
      <w:r w:rsidR="00EE4EB7">
        <w:t xml:space="preserve">The following map </w:t>
      </w:r>
      <w:r w:rsidR="003C121F">
        <w:t>(</w:t>
      </w:r>
      <w:r w:rsidR="00EE4EB7">
        <w:fldChar w:fldCharType="begin"/>
      </w:r>
      <w:r w:rsidR="00EE4EB7">
        <w:instrText xml:space="preserve"> REF _Ref322946486 \h  \* MERGEFORMAT </w:instrText>
      </w:r>
      <w:r w:rsidR="00EE4EB7">
        <w:fldChar w:fldCharType="separate"/>
      </w:r>
      <w:r w:rsidR="00FC22DA">
        <w:t xml:space="preserve">Figure </w:t>
      </w:r>
      <w:r w:rsidR="00FC22DA">
        <w:rPr>
          <w:noProof/>
        </w:rPr>
        <w:t>10</w:t>
      </w:r>
      <w:r w:rsidR="00EE4EB7">
        <w:fldChar w:fldCharType="end"/>
      </w:r>
      <w:r w:rsidR="003C121F">
        <w:t>)</w:t>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rsidR="00EE4EB7" w:rsidRDefault="00EE4EB7" w:rsidP="004755A5">
      <w:pPr>
        <w:rPr>
          <w:rFonts w:ascii="Segoe UI" w:hAnsi="Segoe UI" w:cs="Segoe UI"/>
        </w:rPr>
      </w:pPr>
    </w:p>
    <w:p w:rsidR="00EE4EB7" w:rsidRDefault="00CE2AD3" w:rsidP="004755A5">
      <w:pPr>
        <w:rPr>
          <w:rFonts w:ascii="Segoe UI" w:hAnsi="Segoe UI" w:cs="Segoe UI"/>
        </w:rPr>
      </w:pPr>
      <w:r>
        <w:rPr>
          <w:rFonts w:ascii="Segoe UI" w:hAnsi="Segoe UI" w:cs="Segoe UI"/>
          <w:noProof/>
        </w:rPr>
        <w:drawing>
          <wp:inline distT="0" distB="0" distL="0" distR="0">
            <wp:extent cx="5936615" cy="4572000"/>
            <wp:effectExtent l="0" t="0" r="6985" b="0"/>
            <wp:docPr id="16"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4572000"/>
                    </a:xfrm>
                    <a:prstGeom prst="rect">
                      <a:avLst/>
                    </a:prstGeom>
                    <a:noFill/>
                    <a:ln>
                      <a:noFill/>
                    </a:ln>
                  </pic:spPr>
                </pic:pic>
              </a:graphicData>
            </a:graphic>
          </wp:inline>
        </w:drawing>
      </w:r>
    </w:p>
    <w:p w:rsidR="00EE4EB7" w:rsidRPr="007F25A3" w:rsidRDefault="00EE4EB7" w:rsidP="00EE4EB7">
      <w:pPr>
        <w:pStyle w:val="Caption"/>
      </w:pPr>
      <w:bookmarkStart w:id="67" w:name="_Ref322946486"/>
      <w:bookmarkStart w:id="68" w:name="_Toc335721234"/>
      <w:r>
        <w:t xml:space="preserve">Figure </w:t>
      </w:r>
      <w:fldSimple w:instr=" SEQ Figure \* ARABIC ">
        <w:r w:rsidR="00FC22DA">
          <w:rPr>
            <w:noProof/>
          </w:rPr>
          <w:t>10</w:t>
        </w:r>
      </w:fldSimple>
      <w:bookmarkEnd w:id="67"/>
      <w:r>
        <w:t>: Points of Diversion and Groundwater Use Areas</w:t>
      </w:r>
      <w:bookmarkEnd w:id="68"/>
    </w:p>
    <w:p w:rsidR="001C4336" w:rsidRPr="007F25A3" w:rsidRDefault="001C4336" w:rsidP="005C6388">
      <w:pPr>
        <w:pStyle w:val="Heading3"/>
        <w:rPr>
          <w:rFonts w:ascii="Segoe UI" w:hAnsi="Segoe UI" w:cs="Segoe UI"/>
        </w:rPr>
      </w:pPr>
      <w:bookmarkStart w:id="69" w:name="_Toc213563389"/>
      <w:bookmarkStart w:id="70" w:name="_Toc334007514"/>
      <w:r w:rsidRPr="007F25A3">
        <w:rPr>
          <w:rFonts w:ascii="Segoe UI" w:hAnsi="Segoe UI" w:cs="Segoe UI"/>
        </w:rPr>
        <w:t>Stream Corridor Area</w:t>
      </w:r>
      <w:bookmarkEnd w:id="69"/>
      <w:bookmarkEnd w:id="70"/>
    </w:p>
    <w:p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w:t>
      </w:r>
      <w:r w:rsidRPr="007F25A3">
        <w:lastRenderedPageBreak/>
        <w:t>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FB50E2">
        <w:fldChar w:fldCharType="begin"/>
      </w:r>
      <w:r w:rsidR="00FB50E2">
        <w:instrText xml:space="preserve"> REF _Ref322946486 \h  \* MERGEFORMAT </w:instrText>
      </w:r>
      <w:r w:rsidR="00FB50E2">
        <w:fldChar w:fldCharType="separate"/>
      </w:r>
      <w:r w:rsidR="00FC22DA">
        <w:t xml:space="preserve">Figure </w:t>
      </w:r>
      <w:r w:rsidR="00FC22DA">
        <w:rPr>
          <w:noProof/>
        </w:rPr>
        <w:t>10</w:t>
      </w:r>
      <w:r w:rsidR="00FB50E2">
        <w:fldChar w:fldCharType="end"/>
      </w:r>
      <w:r w:rsidRPr="007F25A3">
        <w:t xml:space="preserve">).  Section 10 line that extends north and south creates the cut off point for the upper end of the corridor area.  This area was selected based on the hydrologic relationship to the stream.  The corridor </w:t>
      </w:r>
      <w:r w:rsidR="003C121F">
        <w:t xml:space="preserve">was divided </w:t>
      </w:r>
      <w:r w:rsidRPr="007F25A3">
        <w:t xml:space="preserve">into separate areas </w:t>
      </w:r>
      <w:r w:rsidR="003C121F">
        <w:t>to target</w:t>
      </w:r>
      <w:r w:rsidRPr="007F25A3">
        <w:t xml:space="preserve"> water right purchase funds </w:t>
      </w:r>
      <w:r w:rsidR="002A59BD">
        <w:t>in</w:t>
      </w:r>
      <w:r w:rsidRPr="007F25A3">
        <w:t xml:space="preserve"> higher priority areas. </w:t>
      </w:r>
    </w:p>
    <w:p w:rsidR="00395C7E" w:rsidRPr="007F25A3" w:rsidRDefault="00395C7E" w:rsidP="00395C7E">
      <w:pPr>
        <w:rPr>
          <w:rFonts w:ascii="Segoe UI" w:hAnsi="Segoe UI" w:cs="Segoe UI"/>
        </w:rPr>
      </w:pPr>
    </w:p>
    <w:p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 xml:space="preserve">This was calculated based on 72% average water use of the authorized quantity for the corridor.  </w:t>
      </w:r>
      <w:r w:rsidR="0036676F" w:rsidRPr="002A59BD">
        <w:rPr>
          <w:rFonts w:ascii="Segoe UI" w:hAnsi="Segoe UI" w:cs="Segoe UI"/>
          <w:highlight w:val="yellow"/>
        </w:rPr>
        <w:t>Water use for 2012 is unavailable for the review</w:t>
      </w:r>
      <w:r w:rsidR="0036676F">
        <w:rPr>
          <w:rFonts w:ascii="Segoe UI" w:hAnsi="Segoe UI" w:cs="Segoe UI"/>
        </w:rPr>
        <w:t>.</w:t>
      </w:r>
    </w:p>
    <w:p w:rsidR="0036676F" w:rsidRDefault="0036676F" w:rsidP="00395C7E">
      <w:pPr>
        <w:rPr>
          <w:rFonts w:ascii="Segoe UI" w:hAnsi="Segoe UI" w:cs="Segoe UI"/>
        </w:rPr>
      </w:pPr>
    </w:p>
    <w:p w:rsidR="0036676F" w:rsidRDefault="00002947" w:rsidP="00FB50E2">
      <w:pPr>
        <w:pStyle w:val="NoSpacing"/>
      </w:pPr>
      <w:r>
        <w:fldChar w:fldCharType="begin"/>
      </w:r>
      <w:r>
        <w:instrText xml:space="preserve"> REF _Ref321896618 \h  \* MERGEFORMAT </w:instrText>
      </w:r>
      <w:r>
        <w:fldChar w:fldCharType="separate"/>
      </w:r>
      <w:r w:rsidR="00FC22DA" w:rsidRPr="00FC22DA">
        <w:t xml:space="preserve">Figure </w:t>
      </w:r>
      <w:r w:rsidR="00FC22DA" w:rsidRPr="00FC22DA">
        <w:rPr>
          <w:noProof/>
        </w:rPr>
        <w:t>11</w:t>
      </w:r>
      <w:r>
        <w:fldChar w:fldCharType="end"/>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w:t>
      </w:r>
      <w:r w:rsidR="00797F92">
        <w:t xml:space="preserve"> </w:t>
      </w:r>
      <w:r w:rsidR="0036676F" w:rsidRPr="007F25A3">
        <w:t>water use in 200</w:t>
      </w:r>
      <w:r w:rsidR="0036676F">
        <w:t>9</w:t>
      </w:r>
      <w:r w:rsidR="0036676F" w:rsidRPr="007F25A3">
        <w:t xml:space="preserve"> was </w:t>
      </w:r>
      <w:r w:rsidR="0036676F">
        <w:t>31,430</w:t>
      </w:r>
      <w:r w:rsidR="0036676F" w:rsidRPr="007F25A3">
        <w:t xml:space="preserve"> acre-feet, 31,</w:t>
      </w:r>
      <w:r w:rsidR="0036676F">
        <w:t>345</w:t>
      </w:r>
      <w:r w:rsidR="0036676F" w:rsidRPr="007F25A3">
        <w:t xml:space="preserve"> acre-feet in 20</w:t>
      </w:r>
      <w:r w:rsidR="0036676F">
        <w:t>1</w:t>
      </w:r>
      <w:r w:rsidR="0036676F" w:rsidRPr="007F25A3">
        <w:t xml:space="preserve">0 and </w:t>
      </w:r>
      <w:r w:rsidR="00DD1B01">
        <w:t>31,</w:t>
      </w:r>
      <w:r w:rsidR="006C146B">
        <w:t>987</w:t>
      </w:r>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w:t>
      </w:r>
      <w:r w:rsidR="00797F92">
        <w:t xml:space="preserve"> </w:t>
      </w:r>
      <w:r w:rsidR="0036676F" w:rsidRPr="007F25A3">
        <w:t xml:space="preserve">has not dropped below the established objective.  Average actual water use since the base period was </w:t>
      </w:r>
      <w:r w:rsidR="009D3F5F">
        <w:t>31,673</w:t>
      </w:r>
      <w:r w:rsidR="0036676F" w:rsidRPr="007F25A3">
        <w:t xml:space="preserve"> acre-feet.</w:t>
      </w:r>
    </w:p>
    <w:p w:rsidR="00844FE1" w:rsidRDefault="00844FE1" w:rsidP="00FB50E2">
      <w:pPr>
        <w:pStyle w:val="NoSpacing"/>
      </w:pPr>
    </w:p>
    <w:p w:rsidR="00B0480E" w:rsidRDefault="006C146B" w:rsidP="006305C5">
      <w:pPr>
        <w:jc w:val="center"/>
        <w:rPr>
          <w:rFonts w:ascii="Segoe UI" w:hAnsi="Segoe UI" w:cs="Segoe UI"/>
        </w:rPr>
      </w:pPr>
      <w:r>
        <w:rPr>
          <w:noProof/>
        </w:rPr>
        <w:drawing>
          <wp:inline distT="0" distB="0" distL="0" distR="0" wp14:anchorId="54EDB45F" wp14:editId="59E2C3EC">
            <wp:extent cx="5943600" cy="3575050"/>
            <wp:effectExtent l="0" t="0" r="1905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06D1" w:rsidRPr="007F25A3" w:rsidRDefault="009806D1" w:rsidP="00DD1B01">
      <w:pPr>
        <w:pStyle w:val="Caption"/>
      </w:pPr>
      <w:bookmarkStart w:id="71" w:name="_Ref321896618"/>
      <w:bookmarkStart w:id="72" w:name="_Toc335721235"/>
      <w:r w:rsidRPr="00DD1B01">
        <w:rPr>
          <w:rFonts w:cs="Segoe UI"/>
        </w:rPr>
        <w:t xml:space="preserve">Figure </w:t>
      </w:r>
      <w:r w:rsidRPr="00DD1B01">
        <w:rPr>
          <w:rFonts w:cs="Segoe UI"/>
        </w:rPr>
        <w:fldChar w:fldCharType="begin"/>
      </w:r>
      <w:r w:rsidRPr="00DD1B01">
        <w:rPr>
          <w:rFonts w:cs="Segoe UI"/>
        </w:rPr>
        <w:instrText xml:space="preserve"> SEQ Figure \* ARABIC </w:instrText>
      </w:r>
      <w:r w:rsidRPr="00DD1B01">
        <w:rPr>
          <w:rFonts w:cs="Segoe UI"/>
        </w:rPr>
        <w:fldChar w:fldCharType="separate"/>
      </w:r>
      <w:r w:rsidR="00FC22DA">
        <w:rPr>
          <w:rFonts w:cs="Segoe UI"/>
          <w:noProof/>
        </w:rPr>
        <w:t>11</w:t>
      </w:r>
      <w:r w:rsidRPr="00DD1B01">
        <w:rPr>
          <w:rFonts w:cs="Segoe UI"/>
        </w:rPr>
        <w:fldChar w:fldCharType="end"/>
      </w:r>
      <w:bookmarkEnd w:id="71"/>
      <w:r w:rsidRPr="00DD1B01">
        <w:rPr>
          <w:rFonts w:cs="Segoe UI"/>
        </w:rPr>
        <w:t>: Stream Corridor Groundwater Use</w:t>
      </w:r>
      <w:bookmarkEnd w:id="72"/>
    </w:p>
    <w:p w:rsidR="0080637F" w:rsidRPr="007F25A3" w:rsidRDefault="00221042" w:rsidP="0080637F">
      <w:pPr>
        <w:pStyle w:val="Heading3"/>
        <w:rPr>
          <w:rFonts w:ascii="Segoe UI" w:hAnsi="Segoe UI" w:cs="Segoe UI"/>
        </w:rPr>
      </w:pPr>
      <w:bookmarkStart w:id="73" w:name="_Toc213563390"/>
      <w:bookmarkStart w:id="74" w:name="_Toc334007515"/>
      <w:r w:rsidRPr="007F25A3">
        <w:rPr>
          <w:rFonts w:ascii="Segoe UI" w:hAnsi="Segoe UI" w:cs="Segoe UI"/>
        </w:rPr>
        <w:lastRenderedPageBreak/>
        <w:t>Groundwater Management Area</w:t>
      </w:r>
      <w:bookmarkEnd w:id="73"/>
      <w:bookmarkEnd w:id="74"/>
    </w:p>
    <w:p w:rsidR="005C5D0F" w:rsidRPr="007F25A3" w:rsidRDefault="005C5D0F" w:rsidP="005C5D0F">
      <w:pPr>
        <w:rPr>
          <w:rFonts w:ascii="Segoe UI" w:hAnsi="Segoe UI" w:cs="Segoe UI"/>
        </w:rPr>
      </w:pPr>
      <w:r w:rsidRPr="007F25A3">
        <w:rPr>
          <w:rFonts w:ascii="Segoe UI" w:hAnsi="Segoe UI" w:cs="Segoe UI"/>
        </w:rPr>
        <w:t xml:space="preserve">The current management </w:t>
      </w:r>
      <w:r w:rsidR="00165961" w:rsidRPr="007F25A3">
        <w:rPr>
          <w:rFonts w:ascii="Segoe UI" w:hAnsi="Segoe UI" w:cs="Segoe UI"/>
        </w:rPr>
        <w:t xml:space="preserve">objective </w:t>
      </w:r>
      <w:r w:rsidRPr="007F25A3">
        <w:rPr>
          <w:rFonts w:ascii="Segoe UI" w:hAnsi="Segoe UI" w:cs="Segoe UI"/>
        </w:rPr>
        <w:t xml:space="preserve">for groundwater use is to decrease use </w:t>
      </w:r>
      <w:r w:rsidR="005D5521">
        <w:rPr>
          <w:rFonts w:ascii="Segoe UI" w:hAnsi="Segoe UI" w:cs="Segoe UI"/>
        </w:rPr>
        <w:t>in both Priority Area 5 (formerl</w:t>
      </w:r>
      <w:r w:rsidRPr="007F25A3">
        <w:rPr>
          <w:rFonts w:ascii="Segoe UI" w:hAnsi="Segoe UI" w:cs="Segoe UI"/>
        </w:rPr>
        <w:t>y known as 1</w:t>
      </w:r>
      <w:r w:rsidRPr="007F25A3">
        <w:rPr>
          <w:rFonts w:ascii="Segoe UI" w:hAnsi="Segoe UI" w:cs="Segoe UI"/>
          <w:vertAlign w:val="superscript"/>
        </w:rPr>
        <w:t>st</w:t>
      </w:r>
      <w:r w:rsidRPr="007F25A3">
        <w:rPr>
          <w:rFonts w:ascii="Segoe UI" w:hAnsi="Segoe UI" w:cs="Segoe UI"/>
        </w:rPr>
        <w:t xml:space="preserve"> Groundwater </w:t>
      </w:r>
      <w:r w:rsidR="000873C5" w:rsidRPr="007F25A3">
        <w:rPr>
          <w:rFonts w:ascii="Segoe UI" w:hAnsi="Segoe UI" w:cs="Segoe UI"/>
        </w:rPr>
        <w:t>Unit) and the High Decline Area</w:t>
      </w:r>
      <w:r w:rsidRPr="007F25A3">
        <w:rPr>
          <w:rFonts w:ascii="Segoe UI" w:hAnsi="Segoe UI" w:cs="Segoe UI"/>
        </w:rPr>
        <w:t xml:space="preserve"> </w:t>
      </w:r>
      <w:r w:rsidR="006D3709" w:rsidRPr="007F25A3">
        <w:rPr>
          <w:rFonts w:ascii="Segoe UI" w:hAnsi="Segoe UI" w:cs="Segoe UI"/>
        </w:rPr>
        <w:t xml:space="preserve">(Priority Area 2) </w:t>
      </w:r>
      <w:r w:rsidRPr="007F25A3">
        <w:rPr>
          <w:rFonts w:ascii="Segoe UI" w:hAnsi="Segoe UI" w:cs="Segoe UI"/>
        </w:rPr>
        <w:t>by 16% from the 1987-1996 average water use</w:t>
      </w:r>
      <w:r w:rsidR="0055674C" w:rsidRPr="007F25A3">
        <w:rPr>
          <w:rFonts w:ascii="Segoe UI" w:hAnsi="Segoe UI" w:cs="Segoe UI"/>
        </w:rPr>
        <w:t>.</w:t>
      </w:r>
      <w:r w:rsidRPr="007F25A3">
        <w:rPr>
          <w:rFonts w:ascii="Segoe UI" w:hAnsi="Segoe UI" w:cs="Segoe UI"/>
        </w:rPr>
        <w:t xml:space="preserve"> </w:t>
      </w:r>
      <w:r w:rsidR="009C3F09" w:rsidRPr="007F25A3">
        <w:rPr>
          <w:rFonts w:ascii="Segoe UI" w:hAnsi="Segoe UI" w:cs="Segoe UI"/>
        </w:rPr>
        <w:t xml:space="preserve"> The original Rattlesnake Creek Management Program also included the Mystery River area so </w:t>
      </w:r>
      <w:r w:rsidR="007C53CC">
        <w:rPr>
          <w:rFonts w:ascii="Segoe UI" w:hAnsi="Segoe UI" w:cs="Segoe UI"/>
        </w:rPr>
        <w:t>it</w:t>
      </w:r>
      <w:r w:rsidR="009C3F09" w:rsidRPr="007F25A3">
        <w:rPr>
          <w:rFonts w:ascii="Segoe UI" w:hAnsi="Segoe UI" w:cs="Segoe UI"/>
        </w:rPr>
        <w:t xml:space="preserve"> was also included in the analysis.  </w:t>
      </w:r>
    </w:p>
    <w:p w:rsidR="000873C5" w:rsidRPr="007F25A3" w:rsidRDefault="000873C5" w:rsidP="005C5D0F">
      <w:pPr>
        <w:rPr>
          <w:rFonts w:ascii="Segoe UI" w:hAnsi="Segoe UI" w:cs="Segoe UI"/>
        </w:rPr>
      </w:pPr>
    </w:p>
    <w:p w:rsidR="002F16EE" w:rsidRPr="007F25A3" w:rsidRDefault="007C53CC" w:rsidP="005C5D0F">
      <w:pPr>
        <w:rPr>
          <w:rFonts w:ascii="Segoe UI" w:hAnsi="Segoe UI" w:cs="Segoe UI"/>
        </w:rPr>
      </w:pPr>
      <w:r>
        <w:rPr>
          <w:rFonts w:ascii="Segoe UI" w:hAnsi="Segoe UI" w:cs="Segoe UI"/>
        </w:rPr>
        <w:t>Based on groundwater use from</w:t>
      </w:r>
      <w:r w:rsidR="00DC21E5" w:rsidRPr="007F25A3">
        <w:rPr>
          <w:rFonts w:ascii="Segoe UI" w:hAnsi="Segoe UI" w:cs="Segoe UI"/>
        </w:rPr>
        <w:t xml:space="preserve"> 1987-1996</w:t>
      </w:r>
      <w:r w:rsidR="000873C5" w:rsidRPr="007F25A3">
        <w:rPr>
          <w:rFonts w:ascii="Segoe UI" w:hAnsi="Segoe UI" w:cs="Segoe UI"/>
        </w:rPr>
        <w:t xml:space="preserve"> in</w:t>
      </w:r>
      <w:r>
        <w:rPr>
          <w:rFonts w:ascii="Segoe UI" w:hAnsi="Segoe UI" w:cs="Segoe UI"/>
        </w:rPr>
        <w:t xml:space="preserve"> the</w:t>
      </w:r>
      <w:r w:rsidR="000873C5" w:rsidRPr="007F25A3">
        <w:rPr>
          <w:rFonts w:ascii="Segoe UI" w:hAnsi="Segoe UI" w:cs="Segoe UI"/>
        </w:rPr>
        <w:t xml:space="preserve"> </w:t>
      </w:r>
      <w:r w:rsidR="009C3F09" w:rsidRPr="007F25A3">
        <w:rPr>
          <w:rFonts w:ascii="Segoe UI" w:hAnsi="Segoe UI" w:cs="Segoe UI"/>
        </w:rPr>
        <w:t>Groundwater Management</w:t>
      </w:r>
      <w:r w:rsidR="00DC21E5" w:rsidRPr="007F25A3">
        <w:rPr>
          <w:rFonts w:ascii="Segoe UI" w:hAnsi="Segoe UI" w:cs="Segoe UI"/>
        </w:rPr>
        <w:t xml:space="preserve"> Area</w:t>
      </w:r>
      <w:r w:rsidR="00736EA2" w:rsidRPr="007F25A3">
        <w:rPr>
          <w:rFonts w:ascii="Segoe UI" w:hAnsi="Segoe UI" w:cs="Segoe UI"/>
        </w:rPr>
        <w:t>,</w:t>
      </w:r>
      <w:r w:rsidR="000873C5" w:rsidRPr="007F25A3">
        <w:rPr>
          <w:rFonts w:ascii="Segoe UI" w:hAnsi="Segoe UI" w:cs="Segoe UI"/>
        </w:rPr>
        <w:t xml:space="preserve"> </w:t>
      </w:r>
      <w:r w:rsidR="008C4267" w:rsidRPr="007F25A3">
        <w:rPr>
          <w:rFonts w:ascii="Segoe UI" w:hAnsi="Segoe UI" w:cs="Segoe UI"/>
        </w:rPr>
        <w:t xml:space="preserve">a 16% reduction in average groundwater use </w:t>
      </w:r>
      <w:r w:rsidR="000873C5" w:rsidRPr="007F25A3">
        <w:rPr>
          <w:rFonts w:ascii="Segoe UI" w:hAnsi="Segoe UI" w:cs="Segoe UI"/>
        </w:rPr>
        <w:t xml:space="preserve">calculates </w:t>
      </w:r>
      <w:r w:rsidR="00AA250E" w:rsidRPr="007F25A3">
        <w:rPr>
          <w:rFonts w:ascii="Segoe UI" w:hAnsi="Segoe UI" w:cs="Segoe UI"/>
        </w:rPr>
        <w:t xml:space="preserve">to </w:t>
      </w:r>
      <w:r w:rsidR="009C3F09" w:rsidRPr="007F25A3">
        <w:rPr>
          <w:rFonts w:ascii="Segoe UI" w:hAnsi="Segoe UI" w:cs="Segoe UI"/>
        </w:rPr>
        <w:t>84,996</w:t>
      </w:r>
      <w:r w:rsidR="009F3FF9" w:rsidRPr="007F25A3">
        <w:rPr>
          <w:rFonts w:ascii="Segoe UI" w:hAnsi="Segoe UI" w:cs="Segoe UI"/>
        </w:rPr>
        <w:t xml:space="preserve"> </w:t>
      </w:r>
      <w:r w:rsidR="00B044D9" w:rsidRPr="007F25A3">
        <w:rPr>
          <w:rFonts w:ascii="Segoe UI" w:hAnsi="Segoe UI" w:cs="Segoe UI"/>
        </w:rPr>
        <w:t>acre-feet</w:t>
      </w:r>
      <w:r w:rsidR="00A1785B" w:rsidRPr="007F25A3">
        <w:rPr>
          <w:rFonts w:ascii="Segoe UI" w:hAnsi="Segoe UI" w:cs="Segoe UI"/>
        </w:rPr>
        <w:t>.</w:t>
      </w:r>
      <w:r w:rsidR="00B044D9" w:rsidRPr="007F25A3">
        <w:rPr>
          <w:rFonts w:ascii="Segoe UI" w:hAnsi="Segoe UI" w:cs="Segoe UI"/>
        </w:rPr>
        <w:t xml:space="preserve"> </w:t>
      </w:r>
      <w:r w:rsidR="00E078F9" w:rsidRPr="007F25A3">
        <w:rPr>
          <w:rFonts w:ascii="Segoe UI" w:hAnsi="Segoe UI" w:cs="Segoe UI"/>
        </w:rPr>
        <w:t xml:space="preserve"> </w:t>
      </w:r>
      <w:r w:rsidR="0023149A" w:rsidRPr="007F25A3">
        <w:rPr>
          <w:rFonts w:ascii="Segoe UI" w:hAnsi="Segoe UI" w:cs="Segoe UI"/>
        </w:rPr>
        <w:t>The 10-year rolling a</w:t>
      </w:r>
      <w:r w:rsidR="008E001C" w:rsidRPr="007F25A3">
        <w:rPr>
          <w:rFonts w:ascii="Segoe UI" w:hAnsi="Segoe UI" w:cs="Segoe UI"/>
        </w:rPr>
        <w:t>verage groundwater use in 200</w:t>
      </w:r>
      <w:r w:rsidR="003F251C">
        <w:rPr>
          <w:rFonts w:ascii="Segoe UI" w:hAnsi="Segoe UI" w:cs="Segoe UI"/>
        </w:rPr>
        <w:t>9</w:t>
      </w:r>
      <w:r w:rsidR="008E001C" w:rsidRPr="007F25A3">
        <w:rPr>
          <w:rFonts w:ascii="Segoe UI" w:hAnsi="Segoe UI" w:cs="Segoe UI"/>
        </w:rPr>
        <w:t xml:space="preserve"> was</w:t>
      </w:r>
      <w:r w:rsidR="009C3F09" w:rsidRPr="007F25A3">
        <w:rPr>
          <w:rFonts w:ascii="Segoe UI" w:hAnsi="Segoe UI" w:cs="Segoe UI"/>
        </w:rPr>
        <w:t xml:space="preserve"> </w:t>
      </w:r>
      <w:r w:rsidR="00764073">
        <w:rPr>
          <w:rFonts w:ascii="Segoe UI" w:hAnsi="Segoe UI" w:cs="Segoe UI"/>
        </w:rPr>
        <w:t>101</w:t>
      </w:r>
      <w:r w:rsidR="009C3F09" w:rsidRPr="007F25A3">
        <w:rPr>
          <w:rFonts w:ascii="Segoe UI" w:hAnsi="Segoe UI" w:cs="Segoe UI"/>
        </w:rPr>
        <w:t>,</w:t>
      </w:r>
      <w:r w:rsidR="009D3F5F">
        <w:rPr>
          <w:rFonts w:ascii="Segoe UI" w:hAnsi="Segoe UI" w:cs="Segoe UI"/>
        </w:rPr>
        <w:t>635</w:t>
      </w:r>
      <w:r w:rsidR="008E001C" w:rsidRPr="007F25A3">
        <w:rPr>
          <w:rFonts w:ascii="Segoe UI" w:hAnsi="Segoe UI" w:cs="Segoe UI"/>
        </w:rPr>
        <w:t xml:space="preserve"> acre-feet.  </w:t>
      </w:r>
      <w:r w:rsidR="008769E4">
        <w:rPr>
          <w:rFonts w:ascii="Segoe UI" w:hAnsi="Segoe UI" w:cs="Segoe UI"/>
        </w:rPr>
        <w:t>In 2010, it declined to 100,</w:t>
      </w:r>
      <w:r w:rsidR="009D3F5F">
        <w:rPr>
          <w:rFonts w:ascii="Segoe UI" w:hAnsi="Segoe UI" w:cs="Segoe UI"/>
        </w:rPr>
        <w:t>750</w:t>
      </w:r>
      <w:r w:rsidR="008769E4">
        <w:rPr>
          <w:rFonts w:ascii="Segoe UI" w:hAnsi="Segoe UI" w:cs="Segoe UI"/>
        </w:rPr>
        <w:t xml:space="preserve"> acre-feet</w:t>
      </w:r>
      <w:r w:rsidR="001443A6">
        <w:rPr>
          <w:rFonts w:ascii="Segoe UI" w:hAnsi="Segoe UI" w:cs="Segoe UI"/>
        </w:rPr>
        <w:t>, but in 2011 it rose to 102,</w:t>
      </w:r>
      <w:r w:rsidR="009D3F5F">
        <w:rPr>
          <w:rFonts w:ascii="Segoe UI" w:hAnsi="Segoe UI" w:cs="Segoe UI"/>
        </w:rPr>
        <w:t>447</w:t>
      </w:r>
      <w:r w:rsidR="001443A6">
        <w:rPr>
          <w:rFonts w:ascii="Segoe UI" w:hAnsi="Segoe UI" w:cs="Segoe UI"/>
        </w:rPr>
        <w:t xml:space="preserve"> acre-feet.</w:t>
      </w:r>
      <w:r w:rsidR="008769E4">
        <w:rPr>
          <w:rFonts w:ascii="Segoe UI" w:hAnsi="Segoe UI" w:cs="Segoe UI"/>
        </w:rPr>
        <w:t xml:space="preserve">  </w:t>
      </w:r>
      <w:r w:rsidR="009C3F09" w:rsidRPr="007F25A3">
        <w:rPr>
          <w:rFonts w:ascii="Segoe UI" w:hAnsi="Segoe UI" w:cs="Segoe UI"/>
        </w:rPr>
        <w:t xml:space="preserve">Since 1997, annual water use has </w:t>
      </w:r>
      <w:r w:rsidR="00D245C9" w:rsidRPr="007F25A3">
        <w:rPr>
          <w:rFonts w:ascii="Segoe UI" w:hAnsi="Segoe UI" w:cs="Segoe UI"/>
        </w:rPr>
        <w:t>exceeded</w:t>
      </w:r>
      <w:r w:rsidR="009C3F09" w:rsidRPr="007F25A3">
        <w:rPr>
          <w:rFonts w:ascii="Segoe UI" w:hAnsi="Segoe UI" w:cs="Segoe UI"/>
        </w:rPr>
        <w:t xml:space="preserve"> the </w:t>
      </w:r>
      <w:r w:rsidR="00165961" w:rsidRPr="007F25A3">
        <w:rPr>
          <w:rFonts w:ascii="Segoe UI" w:hAnsi="Segoe UI" w:cs="Segoe UI"/>
        </w:rPr>
        <w:t xml:space="preserve">established objective </w:t>
      </w:r>
      <w:r w:rsidR="00D15BDD" w:rsidRPr="007F25A3">
        <w:rPr>
          <w:rFonts w:ascii="Segoe UI" w:hAnsi="Segoe UI" w:cs="Segoe UI"/>
        </w:rPr>
        <w:t>(</w:t>
      </w:r>
      <w:r w:rsidR="00002947">
        <w:fldChar w:fldCharType="begin"/>
      </w:r>
      <w:r w:rsidR="00002947">
        <w:instrText xml:space="preserve"> REF _Ref214675020 \h  \* MERGEFORMAT </w:instrText>
      </w:r>
      <w:r w:rsidR="00002947">
        <w:fldChar w:fldCharType="separate"/>
      </w:r>
      <w:r w:rsidR="00FC22DA" w:rsidRPr="00FC22DA">
        <w:rPr>
          <w:rFonts w:ascii="Segoe UI" w:hAnsi="Segoe UI" w:cs="Segoe UI"/>
        </w:rPr>
        <w:t xml:space="preserve">Figure </w:t>
      </w:r>
      <w:r w:rsidR="00FC22DA" w:rsidRPr="00FC22DA">
        <w:rPr>
          <w:rFonts w:ascii="Segoe UI" w:hAnsi="Segoe UI" w:cs="Segoe UI"/>
          <w:noProof/>
        </w:rPr>
        <w:t>12</w:t>
      </w:r>
      <w:r w:rsidR="00002947">
        <w:fldChar w:fldCharType="end"/>
      </w:r>
      <w:r w:rsidR="00D15BDD" w:rsidRPr="007F25A3">
        <w:rPr>
          <w:rFonts w:ascii="Segoe UI" w:hAnsi="Segoe UI" w:cs="Segoe UI"/>
        </w:rPr>
        <w:t>)</w:t>
      </w:r>
      <w:r w:rsidR="00B044D9" w:rsidRPr="007F25A3">
        <w:rPr>
          <w:rFonts w:ascii="Segoe UI" w:hAnsi="Segoe UI" w:cs="Segoe UI"/>
        </w:rPr>
        <w:t>.</w:t>
      </w:r>
      <w:r w:rsidR="0081315A" w:rsidRPr="007F25A3">
        <w:rPr>
          <w:rFonts w:ascii="Segoe UI" w:hAnsi="Segoe UI" w:cs="Segoe UI"/>
        </w:rPr>
        <w:t xml:space="preserve">  </w:t>
      </w:r>
      <w:r w:rsidR="00D245C9" w:rsidRPr="007F25A3">
        <w:rPr>
          <w:rFonts w:ascii="Segoe UI" w:hAnsi="Segoe UI" w:cs="Segoe UI"/>
        </w:rPr>
        <w:t>The 10-year rolling average was not met from 200</w:t>
      </w:r>
      <w:r w:rsidR="008769E4">
        <w:rPr>
          <w:rFonts w:ascii="Segoe UI" w:hAnsi="Segoe UI" w:cs="Segoe UI"/>
        </w:rPr>
        <w:t>9-2011</w:t>
      </w:r>
      <w:r w:rsidR="00D245C9" w:rsidRPr="007F25A3">
        <w:rPr>
          <w:rFonts w:ascii="Segoe UI" w:hAnsi="Segoe UI" w:cs="Segoe UI"/>
        </w:rPr>
        <w:t xml:space="preserve">.  </w:t>
      </w:r>
      <w:r w:rsidR="00736EA2" w:rsidRPr="005D5521">
        <w:rPr>
          <w:rFonts w:ascii="Segoe UI" w:hAnsi="Segoe UI" w:cs="Segoe UI"/>
          <w:highlight w:val="yellow"/>
        </w:rPr>
        <w:t>Water</w:t>
      </w:r>
      <w:r w:rsidR="0081315A" w:rsidRPr="005D5521">
        <w:rPr>
          <w:rFonts w:ascii="Segoe UI" w:hAnsi="Segoe UI" w:cs="Segoe UI"/>
          <w:highlight w:val="yellow"/>
        </w:rPr>
        <w:t xml:space="preserve"> use for 20</w:t>
      </w:r>
      <w:r w:rsidR="008E4B88" w:rsidRPr="005D5521">
        <w:rPr>
          <w:rFonts w:ascii="Segoe UI" w:hAnsi="Segoe UI" w:cs="Segoe UI"/>
          <w:highlight w:val="yellow"/>
        </w:rPr>
        <w:t>12</w:t>
      </w:r>
      <w:r w:rsidR="0081315A" w:rsidRPr="005D5521">
        <w:rPr>
          <w:rFonts w:ascii="Segoe UI" w:hAnsi="Segoe UI" w:cs="Segoe UI"/>
          <w:highlight w:val="yellow"/>
        </w:rPr>
        <w:t xml:space="preserve"> </w:t>
      </w:r>
      <w:r w:rsidR="007F24C0" w:rsidRPr="005D5521">
        <w:rPr>
          <w:rFonts w:ascii="Segoe UI" w:hAnsi="Segoe UI" w:cs="Segoe UI"/>
          <w:highlight w:val="yellow"/>
        </w:rPr>
        <w:t xml:space="preserve">was not available at </w:t>
      </w:r>
      <w:r w:rsidR="007B3B4C" w:rsidRPr="005D5521">
        <w:rPr>
          <w:rFonts w:ascii="Segoe UI" w:hAnsi="Segoe UI" w:cs="Segoe UI"/>
          <w:highlight w:val="yellow"/>
        </w:rPr>
        <w:t xml:space="preserve">the </w:t>
      </w:r>
      <w:r w:rsidR="007F24C0" w:rsidRPr="005D5521">
        <w:rPr>
          <w:rFonts w:ascii="Segoe UI" w:hAnsi="Segoe UI" w:cs="Segoe UI"/>
          <w:highlight w:val="yellow"/>
        </w:rPr>
        <w:t xml:space="preserve">time of </w:t>
      </w:r>
      <w:r w:rsidR="007B3B4C" w:rsidRPr="005D5521">
        <w:rPr>
          <w:rFonts w:ascii="Segoe UI" w:hAnsi="Segoe UI" w:cs="Segoe UI"/>
          <w:highlight w:val="yellow"/>
        </w:rPr>
        <w:t xml:space="preserve">this </w:t>
      </w:r>
      <w:r w:rsidR="007F24C0" w:rsidRPr="005D5521">
        <w:rPr>
          <w:rFonts w:ascii="Segoe UI" w:hAnsi="Segoe UI" w:cs="Segoe UI"/>
          <w:highlight w:val="yellow"/>
        </w:rPr>
        <w:t>analysis</w:t>
      </w:r>
      <w:r w:rsidR="0081315A" w:rsidRPr="005D5521">
        <w:rPr>
          <w:rFonts w:ascii="Segoe UI" w:hAnsi="Segoe UI" w:cs="Segoe UI"/>
          <w:highlight w:val="yellow"/>
        </w:rPr>
        <w:t>.</w:t>
      </w:r>
      <w:r w:rsidR="00B044D9" w:rsidRPr="007F25A3">
        <w:rPr>
          <w:rFonts w:ascii="Segoe UI" w:hAnsi="Segoe UI" w:cs="Segoe UI"/>
        </w:rPr>
        <w:t xml:space="preserve"> </w:t>
      </w:r>
    </w:p>
    <w:p w:rsidR="000873C5" w:rsidRPr="007F25A3" w:rsidRDefault="000873C5" w:rsidP="00AF731B">
      <w:pPr>
        <w:jc w:val="center"/>
        <w:rPr>
          <w:rFonts w:ascii="Segoe UI" w:hAnsi="Segoe UI" w:cs="Segoe UI"/>
        </w:rPr>
      </w:pPr>
    </w:p>
    <w:p w:rsidR="00403A1B" w:rsidRPr="007F25A3" w:rsidRDefault="009D3F5F" w:rsidP="006305C5">
      <w:pPr>
        <w:jc w:val="center"/>
        <w:rPr>
          <w:rFonts w:ascii="Segoe UI" w:hAnsi="Segoe UI" w:cs="Segoe UI"/>
        </w:rPr>
      </w:pPr>
      <w:r>
        <w:rPr>
          <w:noProof/>
        </w:rPr>
        <w:drawing>
          <wp:inline distT="0" distB="0" distL="0" distR="0" wp14:anchorId="6056F512" wp14:editId="41AF14E6">
            <wp:extent cx="5943600" cy="3548380"/>
            <wp:effectExtent l="0" t="0" r="19050"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2DF0" w:rsidRPr="008D4AC4" w:rsidRDefault="00270614" w:rsidP="008D4AC4">
      <w:pPr>
        <w:pStyle w:val="Caption"/>
        <w:rPr>
          <w:rFonts w:cs="Segoe UI"/>
        </w:rPr>
      </w:pPr>
      <w:bookmarkStart w:id="75" w:name="_Ref214675020"/>
      <w:bookmarkStart w:id="76" w:name="_Toc335721236"/>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12</w:t>
      </w:r>
      <w:r w:rsidRPr="007F25A3">
        <w:rPr>
          <w:rFonts w:cs="Segoe UI"/>
        </w:rPr>
        <w:fldChar w:fldCharType="end"/>
      </w:r>
      <w:bookmarkEnd w:id="75"/>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76"/>
    </w:p>
    <w:p w:rsidR="005F48F4" w:rsidRPr="007F25A3" w:rsidRDefault="008D4AC4" w:rsidP="005F48F4">
      <w:pPr>
        <w:pStyle w:val="Heading3"/>
        <w:rPr>
          <w:rFonts w:ascii="Segoe UI" w:hAnsi="Segoe UI" w:cs="Segoe UI"/>
        </w:rPr>
      </w:pPr>
      <w:r>
        <w:rPr>
          <w:rFonts w:ascii="Segoe UI" w:hAnsi="Segoe UI" w:cs="Segoe UI"/>
        </w:rPr>
        <w:br w:type="page"/>
      </w:r>
      <w:bookmarkStart w:id="77" w:name="_Toc334007516"/>
      <w:r w:rsidR="00977948" w:rsidRPr="007F25A3">
        <w:rPr>
          <w:rFonts w:ascii="Segoe UI" w:hAnsi="Segoe UI" w:cs="Segoe UI"/>
        </w:rPr>
        <w:lastRenderedPageBreak/>
        <w:t>Basinwide Area</w:t>
      </w:r>
      <w:bookmarkEnd w:id="77"/>
    </w:p>
    <w:p w:rsidR="00077183" w:rsidRPr="007F25A3" w:rsidRDefault="00977948" w:rsidP="005F48F4">
      <w:pPr>
        <w:rPr>
          <w:rFonts w:ascii="Segoe UI" w:hAnsi="Segoe UI" w:cs="Segoe UI"/>
        </w:rPr>
      </w:pPr>
      <w:r w:rsidRPr="007F25A3">
        <w:rPr>
          <w:rFonts w:ascii="Segoe UI" w:hAnsi="Segoe UI" w:cs="Segoe UI"/>
        </w:rPr>
        <w:t xml:space="preserve">The basinwide area includes </w:t>
      </w:r>
      <w:r w:rsidR="005F48F4" w:rsidRPr="007F25A3">
        <w:rPr>
          <w:rFonts w:ascii="Segoe UI" w:hAnsi="Segoe UI" w:cs="Segoe UI"/>
        </w:rPr>
        <w:t>Priority Area 7</w:t>
      </w:r>
      <w:r w:rsidRPr="007F25A3">
        <w:rPr>
          <w:rFonts w:ascii="Segoe UI" w:hAnsi="Segoe UI" w:cs="Segoe UI"/>
        </w:rPr>
        <w:t xml:space="preserve"> and the groundwater rights in the Mineral Intrusion </w:t>
      </w:r>
      <w:r w:rsidR="00D855D5" w:rsidRPr="007F25A3">
        <w:rPr>
          <w:rFonts w:ascii="Segoe UI" w:hAnsi="Segoe UI" w:cs="Segoe UI"/>
        </w:rPr>
        <w:t>Area</w:t>
      </w:r>
      <w:r w:rsidRPr="007F25A3">
        <w:rPr>
          <w:rFonts w:ascii="Segoe UI" w:hAnsi="Segoe UI" w:cs="Segoe UI"/>
        </w:rPr>
        <w:t>.</w:t>
      </w:r>
      <w:r w:rsidR="005F48F4" w:rsidRPr="007F25A3">
        <w:rPr>
          <w:rFonts w:ascii="Segoe UI" w:hAnsi="Segoe UI" w:cs="Segoe UI"/>
        </w:rPr>
        <w:t xml:space="preserve"> </w:t>
      </w:r>
      <w:r w:rsidRPr="007F25A3">
        <w:rPr>
          <w:rFonts w:ascii="Segoe UI" w:hAnsi="Segoe UI" w:cs="Segoe UI"/>
        </w:rPr>
        <w:t xml:space="preserve"> </w:t>
      </w:r>
      <w:r w:rsidR="00454A7B" w:rsidRPr="007F25A3">
        <w:rPr>
          <w:rFonts w:ascii="Segoe UI" w:hAnsi="Segoe UI" w:cs="Segoe UI"/>
        </w:rPr>
        <w:t>The 10-year rolling average</w:t>
      </w:r>
      <w:r w:rsidR="00DC7CAA">
        <w:rPr>
          <w:rFonts w:ascii="Segoe UI" w:hAnsi="Segoe UI" w:cs="Segoe UI"/>
        </w:rPr>
        <w:t xml:space="preserve"> water use for this area in 2009</w:t>
      </w:r>
      <w:r w:rsidR="00454A7B" w:rsidRPr="007F25A3">
        <w:rPr>
          <w:rFonts w:ascii="Segoe UI" w:hAnsi="Segoe UI" w:cs="Segoe UI"/>
        </w:rPr>
        <w:t xml:space="preserve"> was </w:t>
      </w:r>
      <w:r w:rsidR="00DC7CAA">
        <w:rPr>
          <w:rFonts w:ascii="Segoe UI" w:hAnsi="Segoe UI" w:cs="Segoe UI"/>
        </w:rPr>
        <w:t>53,3</w:t>
      </w:r>
      <w:r w:rsidR="006010B3">
        <w:rPr>
          <w:rFonts w:ascii="Segoe UI" w:hAnsi="Segoe UI" w:cs="Segoe UI"/>
        </w:rPr>
        <w:t>88</w:t>
      </w:r>
      <w:r w:rsidR="00D245C9" w:rsidRPr="007F25A3">
        <w:rPr>
          <w:rFonts w:ascii="Segoe UI" w:hAnsi="Segoe UI" w:cs="Segoe UI"/>
        </w:rPr>
        <w:t xml:space="preserve"> </w:t>
      </w:r>
      <w:r w:rsidR="00DC7CAA">
        <w:rPr>
          <w:rFonts w:ascii="Segoe UI" w:hAnsi="Segoe UI" w:cs="Segoe UI"/>
        </w:rPr>
        <w:t>acre-feet.  It increased in 2010 to 53,7</w:t>
      </w:r>
      <w:r w:rsidR="006010B3">
        <w:rPr>
          <w:rFonts w:ascii="Segoe UI" w:hAnsi="Segoe UI" w:cs="Segoe UI"/>
        </w:rPr>
        <w:t>36</w:t>
      </w:r>
      <w:r w:rsidR="00DC7CAA">
        <w:rPr>
          <w:rFonts w:ascii="Segoe UI" w:hAnsi="Segoe UI" w:cs="Segoe UI"/>
        </w:rPr>
        <w:t xml:space="preserve"> acre-feet and also in 2011</w:t>
      </w:r>
      <w:r w:rsidR="00454A7B" w:rsidRPr="007F25A3">
        <w:rPr>
          <w:rFonts w:ascii="Segoe UI" w:hAnsi="Segoe UI" w:cs="Segoe UI"/>
        </w:rPr>
        <w:t xml:space="preserve"> to a total of </w:t>
      </w:r>
      <w:r w:rsidR="001443A6">
        <w:rPr>
          <w:rFonts w:ascii="Segoe UI" w:hAnsi="Segoe UI" w:cs="Segoe UI"/>
        </w:rPr>
        <w:t>54,</w:t>
      </w:r>
      <w:r w:rsidR="006010B3">
        <w:rPr>
          <w:rFonts w:ascii="Segoe UI" w:hAnsi="Segoe UI" w:cs="Segoe UI"/>
        </w:rPr>
        <w:t>985</w:t>
      </w:r>
      <w:r w:rsidR="00671E6E" w:rsidRPr="007F25A3">
        <w:rPr>
          <w:rFonts w:ascii="Segoe UI" w:hAnsi="Segoe UI" w:cs="Segoe UI"/>
        </w:rPr>
        <w:t xml:space="preserve"> acre-feet.  The </w:t>
      </w:r>
      <w:r w:rsidR="00292B77" w:rsidRPr="007F25A3">
        <w:rPr>
          <w:rFonts w:ascii="Segoe UI" w:hAnsi="Segoe UI" w:cs="Segoe UI"/>
        </w:rPr>
        <w:t xml:space="preserve">objective </w:t>
      </w:r>
      <w:r w:rsidR="00671E6E" w:rsidRPr="007F25A3">
        <w:rPr>
          <w:rFonts w:ascii="Segoe UI" w:hAnsi="Segoe UI" w:cs="Segoe UI"/>
        </w:rPr>
        <w:t>for this area is to achieve a</w:t>
      </w:r>
      <w:r w:rsidR="00E92039" w:rsidRPr="007F25A3">
        <w:rPr>
          <w:rFonts w:ascii="Segoe UI" w:hAnsi="Segoe UI" w:cs="Segoe UI"/>
        </w:rPr>
        <w:t>n</w:t>
      </w:r>
      <w:r w:rsidR="0012394A" w:rsidRPr="007F25A3">
        <w:rPr>
          <w:rFonts w:ascii="Segoe UI" w:hAnsi="Segoe UI" w:cs="Segoe UI"/>
        </w:rPr>
        <w:t xml:space="preserve"> annual groundwater use of</w:t>
      </w:r>
      <w:r w:rsidR="00D245C9" w:rsidRPr="007F25A3">
        <w:rPr>
          <w:rFonts w:ascii="Segoe UI" w:hAnsi="Segoe UI" w:cs="Segoe UI"/>
        </w:rPr>
        <w:t xml:space="preserve"> 46,906</w:t>
      </w:r>
      <w:r w:rsidR="00671E6E" w:rsidRPr="007F25A3">
        <w:rPr>
          <w:rFonts w:ascii="Segoe UI" w:hAnsi="Segoe UI" w:cs="Segoe UI"/>
        </w:rPr>
        <w:t xml:space="preserve"> acre-feet</w:t>
      </w:r>
      <w:r w:rsidR="00D245C9" w:rsidRPr="007F25A3">
        <w:rPr>
          <w:rFonts w:ascii="Segoe UI" w:hAnsi="Segoe UI" w:cs="Segoe UI"/>
        </w:rPr>
        <w:t xml:space="preserve"> as was established in the 2000 Rattlesnake Creek Management Program</w:t>
      </w:r>
      <w:r w:rsidR="000C7996" w:rsidRPr="007F25A3">
        <w:rPr>
          <w:rFonts w:ascii="Segoe UI" w:hAnsi="Segoe UI" w:cs="Segoe UI"/>
        </w:rPr>
        <w:t xml:space="preserve">.  </w:t>
      </w:r>
      <w:r w:rsidR="00D245C9" w:rsidRPr="007F25A3">
        <w:rPr>
          <w:rFonts w:ascii="Segoe UI" w:hAnsi="Segoe UI" w:cs="Segoe UI"/>
        </w:rPr>
        <w:t xml:space="preserve">The 10-year rolling average </w:t>
      </w:r>
      <w:r w:rsidR="00DC7CAA">
        <w:rPr>
          <w:rFonts w:ascii="Segoe UI" w:hAnsi="Segoe UI" w:cs="Segoe UI"/>
        </w:rPr>
        <w:t xml:space="preserve">objective </w:t>
      </w:r>
      <w:r w:rsidR="00D245C9" w:rsidRPr="007F25A3">
        <w:rPr>
          <w:rFonts w:ascii="Segoe UI" w:hAnsi="Segoe UI" w:cs="Segoe UI"/>
        </w:rPr>
        <w:t>was not met from 200</w:t>
      </w:r>
      <w:r w:rsidR="001443A6">
        <w:rPr>
          <w:rFonts w:ascii="Segoe UI" w:hAnsi="Segoe UI" w:cs="Segoe UI"/>
        </w:rPr>
        <w:t>9-</w:t>
      </w:r>
      <w:r w:rsidR="00564FA7">
        <w:rPr>
          <w:rFonts w:ascii="Segoe UI" w:hAnsi="Segoe UI" w:cs="Segoe UI"/>
        </w:rPr>
        <w:t>2011</w:t>
      </w:r>
      <w:r w:rsidR="00564FA7" w:rsidRPr="007F25A3">
        <w:rPr>
          <w:rFonts w:ascii="Segoe UI" w:hAnsi="Segoe UI" w:cs="Segoe UI"/>
        </w:rPr>
        <w:t xml:space="preserve"> </w:t>
      </w:r>
      <w:r w:rsidR="00D245C9" w:rsidRPr="007F25A3">
        <w:rPr>
          <w:rFonts w:ascii="Segoe UI" w:hAnsi="Segoe UI" w:cs="Segoe UI"/>
        </w:rPr>
        <w:t>(</w:t>
      </w:r>
      <w:r w:rsidR="00002947">
        <w:fldChar w:fldCharType="begin"/>
      </w:r>
      <w:r w:rsidR="00002947">
        <w:instrText xml:space="preserve"> REF _Ref221341546 \h  \* MERGEFORMAT </w:instrText>
      </w:r>
      <w:r w:rsidR="00002947">
        <w:fldChar w:fldCharType="separate"/>
      </w:r>
      <w:r w:rsidR="00FC22DA" w:rsidRPr="00FC22DA">
        <w:rPr>
          <w:rFonts w:ascii="Segoe UI" w:hAnsi="Segoe UI" w:cs="Segoe UI"/>
        </w:rPr>
        <w:t xml:space="preserve">Figure </w:t>
      </w:r>
      <w:r w:rsidR="00FC22DA" w:rsidRPr="00FC22DA">
        <w:rPr>
          <w:rFonts w:ascii="Segoe UI" w:hAnsi="Segoe UI" w:cs="Segoe UI"/>
          <w:noProof/>
        </w:rPr>
        <w:t>13</w:t>
      </w:r>
      <w:r w:rsidR="00002947">
        <w:fldChar w:fldCharType="end"/>
      </w:r>
      <w:r w:rsidR="00D245C9" w:rsidRPr="007F25A3">
        <w:rPr>
          <w:rFonts w:ascii="Segoe UI" w:hAnsi="Segoe UI" w:cs="Segoe UI"/>
        </w:rPr>
        <w:t>).</w:t>
      </w:r>
    </w:p>
    <w:p w:rsidR="00077183" w:rsidRPr="007F25A3" w:rsidRDefault="00077183" w:rsidP="00C06032">
      <w:pPr>
        <w:keepNext/>
        <w:jc w:val="center"/>
        <w:rPr>
          <w:rFonts w:ascii="Segoe UI" w:hAnsi="Segoe UI" w:cs="Segoe UI"/>
        </w:rPr>
      </w:pPr>
    </w:p>
    <w:p w:rsidR="00077183" w:rsidRPr="007F25A3" w:rsidRDefault="006010B3" w:rsidP="00C06032">
      <w:pPr>
        <w:keepNext/>
        <w:jc w:val="center"/>
        <w:rPr>
          <w:rFonts w:ascii="Segoe UI" w:hAnsi="Segoe UI" w:cs="Segoe UI"/>
        </w:rPr>
      </w:pPr>
      <w:r>
        <w:rPr>
          <w:noProof/>
        </w:rPr>
        <w:drawing>
          <wp:inline distT="0" distB="0" distL="0" distR="0" wp14:anchorId="09386E5A" wp14:editId="4AF5EFEA">
            <wp:extent cx="5943600" cy="3575050"/>
            <wp:effectExtent l="0" t="0" r="1905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48F4" w:rsidRPr="007F25A3" w:rsidRDefault="00077183" w:rsidP="00077183">
      <w:pPr>
        <w:pStyle w:val="Caption"/>
        <w:rPr>
          <w:rFonts w:cs="Segoe UI"/>
        </w:rPr>
      </w:pPr>
      <w:bookmarkStart w:id="78" w:name="_Ref221341546"/>
      <w:bookmarkStart w:id="79" w:name="_Toc335721237"/>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13</w:t>
      </w:r>
      <w:r w:rsidRPr="007F25A3">
        <w:rPr>
          <w:rFonts w:cs="Segoe UI"/>
        </w:rPr>
        <w:fldChar w:fldCharType="end"/>
      </w:r>
      <w:bookmarkEnd w:id="78"/>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79"/>
    </w:p>
    <w:p w:rsidR="005F48F4" w:rsidRPr="007F25A3" w:rsidRDefault="005F48F4" w:rsidP="005F48F4">
      <w:pPr>
        <w:rPr>
          <w:rFonts w:ascii="Segoe UI" w:hAnsi="Segoe UI" w:cs="Segoe UI"/>
        </w:rPr>
      </w:pPr>
    </w:p>
    <w:p w:rsidR="00D45A6D" w:rsidRPr="007F25A3" w:rsidRDefault="00D45A6D" w:rsidP="00A1785B">
      <w:pPr>
        <w:jc w:val="center"/>
        <w:rPr>
          <w:rFonts w:ascii="Segoe UI" w:hAnsi="Segoe UI" w:cs="Segoe UI"/>
        </w:rPr>
      </w:pPr>
    </w:p>
    <w:p w:rsidR="00D45A6D" w:rsidRPr="007F25A3" w:rsidRDefault="006010B3" w:rsidP="00A1785B">
      <w:pPr>
        <w:jc w:val="center"/>
        <w:rPr>
          <w:rFonts w:ascii="Segoe UI" w:hAnsi="Segoe UI" w:cs="Segoe UI"/>
        </w:rPr>
      </w:pPr>
      <w:r>
        <w:rPr>
          <w:noProof/>
        </w:rPr>
        <w:lastRenderedPageBreak/>
        <w:drawing>
          <wp:inline distT="0" distB="0" distL="0" distR="0" wp14:anchorId="38686FD3" wp14:editId="4F96EA49">
            <wp:extent cx="5943600" cy="3791585"/>
            <wp:effectExtent l="0" t="0" r="1905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511A" w:rsidRDefault="0011511A" w:rsidP="0011511A">
      <w:pPr>
        <w:pStyle w:val="Caption"/>
        <w:rPr>
          <w:rFonts w:cs="Segoe UI"/>
        </w:rPr>
      </w:pPr>
      <w:bookmarkStart w:id="80" w:name="_Ref214675066"/>
      <w:bookmarkStart w:id="81" w:name="_Toc335721238"/>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14</w:t>
      </w:r>
      <w:r w:rsidRPr="007F25A3">
        <w:rPr>
          <w:rFonts w:cs="Segoe UI"/>
        </w:rPr>
        <w:fldChar w:fldCharType="end"/>
      </w:r>
      <w:bookmarkEnd w:id="80"/>
      <w:r w:rsidRPr="007F25A3">
        <w:rPr>
          <w:rFonts w:cs="Segoe UI"/>
        </w:rPr>
        <w:t xml:space="preserve">: </w:t>
      </w:r>
      <w:r w:rsidR="00C06032">
        <w:rPr>
          <w:rFonts w:cs="Segoe UI"/>
        </w:rPr>
        <w:t>Annual Precipitation and Irrigation Water Applied</w:t>
      </w:r>
      <w:bookmarkEnd w:id="81"/>
    </w:p>
    <w:p w:rsidR="000B70C7" w:rsidRPr="000B70C7" w:rsidRDefault="000B70C7" w:rsidP="000B70C7"/>
    <w:p w:rsidR="00D45A6D" w:rsidRDefault="00002947" w:rsidP="00D45A6D">
      <w:pPr>
        <w:rPr>
          <w:rFonts w:ascii="Segoe UI" w:hAnsi="Segoe UI" w:cs="Segoe UI"/>
        </w:rPr>
      </w:pPr>
      <w:r>
        <w:fldChar w:fldCharType="begin"/>
      </w:r>
      <w:r>
        <w:instrText xml:space="preserve"> REF _Ref214675066 \h  \* MERGEFORMAT </w:instrText>
      </w:r>
      <w:r>
        <w:fldChar w:fldCharType="separate"/>
      </w:r>
      <w:r w:rsidR="00FC22DA" w:rsidRPr="00FC22DA">
        <w:rPr>
          <w:rFonts w:ascii="Segoe UI" w:hAnsi="Segoe UI" w:cs="Segoe UI"/>
        </w:rPr>
        <w:t xml:space="preserve">Figure </w:t>
      </w:r>
      <w:r w:rsidR="00FC22DA" w:rsidRPr="00FC22DA">
        <w:rPr>
          <w:rFonts w:ascii="Segoe UI" w:hAnsi="Segoe UI" w:cs="Segoe UI"/>
          <w:noProof/>
        </w:rPr>
        <w:t>14</w:t>
      </w:r>
      <w:r>
        <w:fldChar w:fldCharType="end"/>
      </w:r>
      <w:r w:rsidR="007038F4">
        <w:rPr>
          <w:rFonts w:ascii="Segoe UI" w:hAnsi="Segoe UI" w:cs="Segoe UI"/>
        </w:rPr>
        <w:t xml:space="preserve"> </w:t>
      </w:r>
      <w:r w:rsidR="00270614" w:rsidRPr="007F25A3">
        <w:rPr>
          <w:rFonts w:ascii="Segoe UI" w:hAnsi="Segoe UI" w:cs="Segoe UI"/>
        </w:rPr>
        <w:t xml:space="preserve">shows the relationship between groundwater use and precipitation. </w:t>
      </w:r>
      <w:r w:rsidR="0063438F" w:rsidRPr="007F25A3">
        <w:rPr>
          <w:rFonts w:ascii="Segoe UI" w:hAnsi="Segoe UI" w:cs="Segoe UI"/>
        </w:rPr>
        <w:t xml:space="preserve"> </w:t>
      </w:r>
      <w:r w:rsidR="00C06032">
        <w:rPr>
          <w:rFonts w:ascii="Segoe UI" w:hAnsi="Segoe UI" w:cs="Segoe UI"/>
        </w:rPr>
        <w:t>The blue line represents precipitation in the subbasin.  The other colored solid lines are average irrigated inches applied by priority area.  This is calculated by the following calculation (AF/acres)*12.  The dashed lines are a summation of the irrigated</w:t>
      </w:r>
      <w:r w:rsidR="003357FE">
        <w:rPr>
          <w:rFonts w:ascii="Segoe UI" w:hAnsi="Segoe UI" w:cs="Segoe UI"/>
        </w:rPr>
        <w:t xml:space="preserve"> inches and precipitation for the total amount of water applied.</w:t>
      </w:r>
      <w:r w:rsidR="00C66BF9">
        <w:rPr>
          <w:rFonts w:ascii="Segoe UI" w:hAnsi="Segoe UI" w:cs="Segoe UI"/>
        </w:rPr>
        <w:t xml:space="preserve">  2011 was the first time </w:t>
      </w:r>
      <w:r w:rsidR="002C442D">
        <w:rPr>
          <w:rFonts w:ascii="Segoe UI" w:hAnsi="Segoe UI" w:cs="Segoe UI"/>
        </w:rPr>
        <w:t xml:space="preserve">during the Program </w:t>
      </w:r>
      <w:r w:rsidR="00C66BF9">
        <w:rPr>
          <w:rFonts w:ascii="Segoe UI" w:hAnsi="Segoe UI" w:cs="Segoe UI"/>
        </w:rPr>
        <w:t>that applied irrigation water exceed</w:t>
      </w:r>
      <w:r w:rsidR="00E560F9">
        <w:rPr>
          <w:rFonts w:ascii="Segoe UI" w:hAnsi="Segoe UI" w:cs="Segoe UI"/>
        </w:rPr>
        <w:t>ed</w:t>
      </w:r>
      <w:r w:rsidR="00C66BF9">
        <w:rPr>
          <w:rFonts w:ascii="Segoe UI" w:hAnsi="Segoe UI" w:cs="Segoe UI"/>
        </w:rPr>
        <w:t xml:space="preserve"> the </w:t>
      </w:r>
      <w:r w:rsidR="00E560F9">
        <w:rPr>
          <w:rFonts w:ascii="Segoe UI" w:hAnsi="Segoe UI" w:cs="Segoe UI"/>
        </w:rPr>
        <w:t xml:space="preserve">amount of </w:t>
      </w:r>
      <w:r w:rsidR="00C66BF9">
        <w:rPr>
          <w:rFonts w:ascii="Segoe UI" w:hAnsi="Segoe UI" w:cs="Segoe UI"/>
        </w:rPr>
        <w:t>precipitation.</w:t>
      </w:r>
    </w:p>
    <w:p w:rsidR="00DF4FBA" w:rsidRDefault="00DF4FBA" w:rsidP="00D45A6D">
      <w:pPr>
        <w:rPr>
          <w:rFonts w:ascii="Segoe UI" w:hAnsi="Segoe UI" w:cs="Segoe UI"/>
        </w:rPr>
      </w:pPr>
    </w:p>
    <w:p w:rsidR="00DF4FBA" w:rsidRDefault="00DF4FBA" w:rsidP="00F63B8C">
      <w:pPr>
        <w:pStyle w:val="NoSpacing"/>
      </w:pPr>
      <w:r>
        <w:t>The following two graphs</w:t>
      </w:r>
      <w:r w:rsidR="00BD74F1">
        <w:t xml:space="preserve">, </w:t>
      </w:r>
      <w:r w:rsidR="00BD74F1">
        <w:fldChar w:fldCharType="begin"/>
      </w:r>
      <w:r w:rsidR="00BD74F1">
        <w:instrText xml:space="preserve"> REF _Ref321983958 \h </w:instrText>
      </w:r>
      <w:r w:rsidR="00F63B8C">
        <w:instrText xml:space="preserve"> \* MERGEFORMAT </w:instrText>
      </w:r>
      <w:r w:rsidR="00BD74F1">
        <w:fldChar w:fldCharType="separate"/>
      </w:r>
      <w:r w:rsidR="00FC22DA" w:rsidRPr="00FC22DA">
        <w:t xml:space="preserve">Figure </w:t>
      </w:r>
      <w:r w:rsidR="00FC22DA" w:rsidRPr="00FC22DA">
        <w:rPr>
          <w:noProof/>
        </w:rPr>
        <w:t>15</w:t>
      </w:r>
      <w:r w:rsidR="00BD74F1">
        <w:fldChar w:fldCharType="end"/>
      </w:r>
      <w:r w:rsidR="00BD74F1">
        <w:t xml:space="preserve"> and </w:t>
      </w:r>
      <w:r w:rsidR="00BD74F1">
        <w:fldChar w:fldCharType="begin"/>
      </w:r>
      <w:r w:rsidR="00BD74F1">
        <w:instrText xml:space="preserve"> REF _Ref321983960 \h </w:instrText>
      </w:r>
      <w:r w:rsidR="00BD74F1">
        <w:fldChar w:fldCharType="separate"/>
      </w:r>
      <w:r w:rsidR="00FC22DA" w:rsidRPr="00BD74F1">
        <w:rPr>
          <w:rFonts w:cs="Segoe UI"/>
        </w:rPr>
        <w:t xml:space="preserve">Figure </w:t>
      </w:r>
      <w:r w:rsidR="00FC22DA">
        <w:rPr>
          <w:rFonts w:cs="Segoe UI"/>
          <w:noProof/>
        </w:rPr>
        <w:t>16</w:t>
      </w:r>
      <w:r w:rsidR="00BD74F1">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rsidR="00DF4FBA" w:rsidRDefault="00DF4FBA" w:rsidP="00D45A6D">
      <w:pPr>
        <w:rPr>
          <w:rFonts w:ascii="Segoe UI" w:hAnsi="Segoe UI" w:cs="Segoe UI"/>
        </w:rPr>
      </w:pPr>
    </w:p>
    <w:p w:rsidR="00DF4FBA" w:rsidRDefault="00DF4FBA" w:rsidP="00DF4FBA">
      <w:pPr>
        <w:jc w:val="center"/>
        <w:rPr>
          <w:rFonts w:ascii="Segoe UI" w:hAnsi="Segoe UI" w:cs="Segoe UI"/>
        </w:rPr>
      </w:pPr>
    </w:p>
    <w:p w:rsidR="00DF4FBA" w:rsidRDefault="006010B3" w:rsidP="00DF4FBA">
      <w:pPr>
        <w:jc w:val="center"/>
        <w:rPr>
          <w:rFonts w:ascii="Segoe UI" w:hAnsi="Segoe UI" w:cs="Segoe UI"/>
        </w:rPr>
      </w:pPr>
      <w:r>
        <w:rPr>
          <w:noProof/>
        </w:rPr>
        <w:lastRenderedPageBreak/>
        <w:drawing>
          <wp:inline distT="0" distB="0" distL="0" distR="0" wp14:anchorId="3B60576D" wp14:editId="73264A1F">
            <wp:extent cx="5210175" cy="38576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4FBA" w:rsidRPr="00BD74F1" w:rsidRDefault="00BD74F1" w:rsidP="00BD74F1">
      <w:pPr>
        <w:pStyle w:val="Caption"/>
        <w:rPr>
          <w:rFonts w:cs="Segoe UI"/>
        </w:rPr>
      </w:pPr>
      <w:bookmarkStart w:id="82" w:name="_Ref321983958"/>
      <w:bookmarkStart w:id="83" w:name="_Toc335721239"/>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C22DA">
        <w:rPr>
          <w:rFonts w:cs="Segoe UI"/>
          <w:noProof/>
        </w:rPr>
        <w:t>15</w:t>
      </w:r>
      <w:r w:rsidRPr="00BD74F1">
        <w:rPr>
          <w:rFonts w:cs="Segoe UI"/>
        </w:rPr>
        <w:fldChar w:fldCharType="end"/>
      </w:r>
      <w:bookmarkEnd w:id="82"/>
      <w:r w:rsidR="00F63B8C">
        <w:rPr>
          <w:rFonts w:cs="Segoe UI"/>
        </w:rPr>
        <w:t>: Reported Irrigated Acres,</w:t>
      </w:r>
      <w:r w:rsidRPr="00BD74F1">
        <w:rPr>
          <w:rFonts w:cs="Segoe UI"/>
        </w:rPr>
        <w:t xml:space="preserve"> Priority Area</w:t>
      </w:r>
      <w:r w:rsidR="00F63B8C">
        <w:rPr>
          <w:rFonts w:cs="Segoe UI"/>
        </w:rPr>
        <w:t xml:space="preserve"> 1, 2, 3, 4, Mineral Intrusion, Mystery River</w:t>
      </w:r>
      <w:bookmarkEnd w:id="83"/>
    </w:p>
    <w:p w:rsidR="00DF4FBA" w:rsidRDefault="00DF4FBA" w:rsidP="00DF4FBA">
      <w:pPr>
        <w:jc w:val="center"/>
        <w:rPr>
          <w:rFonts w:ascii="Segoe UI" w:hAnsi="Segoe UI" w:cs="Segoe UI"/>
        </w:rPr>
      </w:pPr>
    </w:p>
    <w:p w:rsidR="00DF4FBA" w:rsidRDefault="006010B3" w:rsidP="00DF4FBA">
      <w:pPr>
        <w:jc w:val="center"/>
        <w:rPr>
          <w:rFonts w:ascii="Segoe UI" w:hAnsi="Segoe UI" w:cs="Segoe UI"/>
        </w:rPr>
      </w:pPr>
      <w:r>
        <w:rPr>
          <w:noProof/>
        </w:rPr>
        <w:drawing>
          <wp:inline distT="0" distB="0" distL="0" distR="0" wp14:anchorId="2995C12D" wp14:editId="0BEE257B">
            <wp:extent cx="5172075" cy="36099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74F1" w:rsidRPr="00BD74F1" w:rsidRDefault="00BD74F1" w:rsidP="00BD74F1">
      <w:pPr>
        <w:pStyle w:val="Caption"/>
        <w:rPr>
          <w:rFonts w:cs="Segoe UI"/>
        </w:rPr>
      </w:pPr>
      <w:bookmarkStart w:id="84" w:name="_Ref321983960"/>
      <w:bookmarkStart w:id="85" w:name="_Toc335721240"/>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C22DA">
        <w:rPr>
          <w:rFonts w:cs="Segoe UI"/>
          <w:noProof/>
        </w:rPr>
        <w:t>16</w:t>
      </w:r>
      <w:r w:rsidRPr="00BD74F1">
        <w:rPr>
          <w:rFonts w:cs="Segoe UI"/>
        </w:rPr>
        <w:fldChar w:fldCharType="end"/>
      </w:r>
      <w:bookmarkEnd w:id="84"/>
      <w:r w:rsidRPr="00BD74F1">
        <w:rPr>
          <w:rFonts w:cs="Segoe UI"/>
        </w:rPr>
        <w:t>: Reported Irrigated Acres, Priority Area 5 and 7</w:t>
      </w:r>
      <w:bookmarkEnd w:id="85"/>
    </w:p>
    <w:p w:rsidR="006817CB" w:rsidRDefault="007075BB" w:rsidP="006817CB">
      <w:pPr>
        <w:pStyle w:val="Heading1"/>
        <w:rPr>
          <w:rFonts w:ascii="Segoe UI" w:hAnsi="Segoe UI" w:cs="Segoe UI"/>
        </w:rPr>
      </w:pPr>
      <w:bookmarkStart w:id="86" w:name="_Toc334007517"/>
      <w:r w:rsidRPr="007F25A3">
        <w:rPr>
          <w:rFonts w:ascii="Segoe UI" w:hAnsi="Segoe UI" w:cs="Segoe UI"/>
        </w:rPr>
        <w:lastRenderedPageBreak/>
        <w:t>III</w:t>
      </w:r>
      <w:r w:rsidR="006817CB" w:rsidRPr="007F25A3">
        <w:rPr>
          <w:rFonts w:ascii="Segoe UI" w:hAnsi="Segoe UI" w:cs="Segoe UI"/>
        </w:rPr>
        <w:t>. Management Strategies</w:t>
      </w:r>
      <w:bookmarkEnd w:id="86"/>
    </w:p>
    <w:p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rsidR="00CB3223" w:rsidRPr="007F25A3" w:rsidRDefault="00265D64" w:rsidP="00265D64">
      <w:pPr>
        <w:pStyle w:val="Heading2"/>
        <w:rPr>
          <w:rFonts w:ascii="Segoe UI" w:hAnsi="Segoe UI" w:cs="Segoe UI"/>
          <w:i w:val="0"/>
        </w:rPr>
      </w:pPr>
      <w:bookmarkStart w:id="87" w:name="_Toc213563392"/>
      <w:bookmarkStart w:id="88" w:name="_Toc334007518"/>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87"/>
      <w:bookmarkEnd w:id="88"/>
    </w:p>
    <w:p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rsidR="007B4430" w:rsidRPr="007F25A3" w:rsidRDefault="007B4430" w:rsidP="00AB4575">
      <w:pPr>
        <w:rPr>
          <w:rFonts w:ascii="Segoe UI" w:hAnsi="Segoe UI" w:cs="Segoe UI"/>
        </w:rPr>
      </w:pPr>
    </w:p>
    <w:p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rsidR="00504B29" w:rsidRPr="007F25A3" w:rsidRDefault="00504B29" w:rsidP="00D43574">
      <w:pPr>
        <w:pStyle w:val="Heading3"/>
        <w:rPr>
          <w:rFonts w:ascii="Segoe UI" w:hAnsi="Segoe UI" w:cs="Segoe UI"/>
        </w:rPr>
      </w:pPr>
      <w:bookmarkStart w:id="89" w:name="_Toc213563393"/>
      <w:bookmarkStart w:id="90" w:name="_Toc218394321"/>
      <w:bookmarkStart w:id="91" w:name="_Toc218477667"/>
      <w:bookmarkStart w:id="92" w:name="_Toc218477777"/>
      <w:bookmarkStart w:id="93" w:name="_Toc221428690"/>
      <w:bookmarkStart w:id="94" w:name="_Toc334007519"/>
      <w:r w:rsidRPr="007F25A3">
        <w:rPr>
          <w:rFonts w:ascii="Segoe UI" w:hAnsi="Segoe UI" w:cs="Segoe UI"/>
        </w:rPr>
        <w:t>Other Purchase Programs</w:t>
      </w:r>
      <w:bookmarkEnd w:id="89"/>
      <w:bookmarkEnd w:id="90"/>
      <w:bookmarkEnd w:id="91"/>
      <w:bookmarkEnd w:id="92"/>
      <w:bookmarkEnd w:id="93"/>
      <w:bookmarkEnd w:id="94"/>
    </w:p>
    <w:p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lastRenderedPageBreak/>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rsidR="007C30B5" w:rsidRDefault="007C30B5" w:rsidP="007C30B5">
      <w:pPr>
        <w:rPr>
          <w:rFonts w:ascii="Segoe UI" w:hAnsi="Segoe UI" w:cs="Segoe UI"/>
        </w:rPr>
      </w:pPr>
    </w:p>
    <w:p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p>
    <w:p w:rsidR="00AB4575" w:rsidRPr="007F25A3" w:rsidRDefault="00443753" w:rsidP="00265D64">
      <w:pPr>
        <w:pStyle w:val="Heading2"/>
        <w:rPr>
          <w:rFonts w:ascii="Segoe UI" w:hAnsi="Segoe UI" w:cs="Segoe UI"/>
          <w:i w:val="0"/>
        </w:rPr>
      </w:pPr>
      <w:bookmarkStart w:id="95" w:name="_Toc213563394"/>
      <w:bookmarkStart w:id="96" w:name="_Toc334007520"/>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95"/>
      <w:bookmarkEnd w:id="96"/>
    </w:p>
    <w:p w:rsidR="005839DB" w:rsidRPr="007F25A3" w:rsidRDefault="005839DB" w:rsidP="005839DB">
      <w:pPr>
        <w:rPr>
          <w:rFonts w:ascii="Segoe UI" w:hAnsi="Segoe UI" w:cs="Segoe UI"/>
        </w:rPr>
      </w:pPr>
      <w:r w:rsidRPr="007F25A3">
        <w:rPr>
          <w:rFonts w:ascii="Segoe UI" w:hAnsi="Segoe UI" w:cs="Segoe UI"/>
        </w:rPr>
        <w:t xml:space="preserve">The Kansas Legislature passed the Water Banking Act in 2001.  The rules and regulations were adopted in 2004 with the Charter for the Central Kansas Water Bank </w:t>
      </w:r>
      <w:r w:rsidR="00F762E6">
        <w:rPr>
          <w:rFonts w:ascii="Segoe UI" w:hAnsi="Segoe UI" w:cs="Segoe UI"/>
        </w:rPr>
        <w:t xml:space="preserve">(CKWB) </w:t>
      </w:r>
      <w:r w:rsidRPr="007F25A3">
        <w:rPr>
          <w:rFonts w:ascii="Segoe UI" w:hAnsi="Segoe UI" w:cs="Segoe UI"/>
        </w:rPr>
        <w:t xml:space="preserve">following in 2005.  The </w:t>
      </w:r>
      <w:r w:rsidR="00F762E6">
        <w:rPr>
          <w:rFonts w:ascii="Segoe UI" w:hAnsi="Segoe UI" w:cs="Segoe UI"/>
        </w:rPr>
        <w:t>CKWB</w:t>
      </w:r>
      <w:r w:rsidRPr="007F25A3">
        <w:rPr>
          <w:rFonts w:ascii="Segoe UI" w:hAnsi="Segoe UI" w:cs="Segoe UI"/>
        </w:rPr>
        <w:t xml:space="preserve"> </w:t>
      </w:r>
      <w:r w:rsidR="00B64046" w:rsidRPr="007F25A3">
        <w:rPr>
          <w:rFonts w:ascii="Segoe UI" w:hAnsi="Segoe UI" w:cs="Segoe UI"/>
        </w:rPr>
        <w:t>comprises</w:t>
      </w:r>
      <w:r w:rsidRPr="007F25A3">
        <w:rPr>
          <w:rFonts w:ascii="Segoe UI" w:hAnsi="Segoe UI" w:cs="Segoe UI"/>
        </w:rPr>
        <w:t xml:space="preserve"> the entire Big Bend Groundwater Management District 5 and </w:t>
      </w:r>
      <w:r w:rsidR="00B64046" w:rsidRPr="007F25A3">
        <w:rPr>
          <w:rFonts w:ascii="Segoe UI" w:hAnsi="Segoe UI" w:cs="Segoe UI"/>
        </w:rPr>
        <w:t xml:space="preserve">is administered </w:t>
      </w:r>
      <w:r w:rsidRPr="007F25A3">
        <w:rPr>
          <w:rFonts w:ascii="Segoe UI" w:hAnsi="Segoe UI" w:cs="Segoe UI"/>
        </w:rPr>
        <w:t>from the District office.</w:t>
      </w:r>
    </w:p>
    <w:p w:rsidR="005839DB" w:rsidRPr="007F25A3" w:rsidRDefault="005839DB" w:rsidP="005839DB">
      <w:pPr>
        <w:rPr>
          <w:rFonts w:ascii="Segoe UI" w:hAnsi="Segoe UI" w:cs="Segoe UI"/>
        </w:rPr>
      </w:pPr>
    </w:p>
    <w:p w:rsidR="00AB4575" w:rsidRPr="007F25A3" w:rsidRDefault="00F762E6" w:rsidP="00AB4575">
      <w:pPr>
        <w:rPr>
          <w:rFonts w:ascii="Segoe UI" w:hAnsi="Segoe UI" w:cs="Segoe UI"/>
        </w:rPr>
      </w:pPr>
      <w:r>
        <w:rPr>
          <w:rFonts w:ascii="Segoe UI" w:hAnsi="Segoe UI" w:cs="Segoe UI"/>
        </w:rPr>
        <w:t>A</w:t>
      </w:r>
      <w:r w:rsidR="00D57176" w:rsidRPr="007F25A3">
        <w:rPr>
          <w:rFonts w:ascii="Segoe UI" w:hAnsi="Segoe UI" w:cs="Segoe UI"/>
        </w:rPr>
        <w:t xml:space="preserve"> groundwater bank allow</w:t>
      </w:r>
      <w:r w:rsidR="00F27732">
        <w:rPr>
          <w:rFonts w:ascii="Segoe UI" w:hAnsi="Segoe UI" w:cs="Segoe UI"/>
        </w:rPr>
        <w:t>s</w:t>
      </w:r>
      <w:r w:rsidR="00D57176" w:rsidRPr="007F25A3">
        <w:rPr>
          <w:rFonts w:ascii="Segoe UI" w:hAnsi="Segoe UI" w:cs="Segoe UI"/>
        </w:rPr>
        <w:t xml:space="preserve"> water user</w:t>
      </w:r>
      <w:r w:rsidR="007643FC">
        <w:rPr>
          <w:rFonts w:ascii="Segoe UI" w:hAnsi="Segoe UI" w:cs="Segoe UI"/>
        </w:rPr>
        <w:t>s</w:t>
      </w:r>
      <w:r w:rsidR="00D57176" w:rsidRPr="007F25A3">
        <w:rPr>
          <w:rFonts w:ascii="Segoe UI" w:hAnsi="Segoe UI" w:cs="Segoe UI"/>
        </w:rPr>
        <w:t xml:space="preserve"> the ability to deposit all or part of their water right into the bank</w:t>
      </w:r>
      <w:r w:rsidR="007643FC">
        <w:rPr>
          <w:rFonts w:ascii="Segoe UI" w:hAnsi="Segoe UI" w:cs="Segoe UI"/>
        </w:rPr>
        <w:t xml:space="preserve"> and receive</w:t>
      </w:r>
      <w:r w:rsidR="00C66AAD" w:rsidRPr="007F25A3">
        <w:rPr>
          <w:rFonts w:ascii="Segoe UI" w:hAnsi="Segoe UI" w:cs="Segoe UI"/>
        </w:rPr>
        <w:t xml:space="preserve"> c</w:t>
      </w:r>
      <w:r w:rsidR="00D57176" w:rsidRPr="007F25A3">
        <w:rPr>
          <w:rFonts w:ascii="Segoe UI" w:hAnsi="Segoe UI" w:cs="Segoe UI"/>
        </w:rPr>
        <w:t xml:space="preserve">ompensation when another water user leases the water.  In addition, water users </w:t>
      </w:r>
      <w:r w:rsidR="007643FC">
        <w:rPr>
          <w:rFonts w:ascii="Segoe UI" w:hAnsi="Segoe UI" w:cs="Segoe UI"/>
        </w:rPr>
        <w:t>can</w:t>
      </w:r>
      <w:r w:rsidR="00D57176" w:rsidRPr="007F25A3">
        <w:rPr>
          <w:rFonts w:ascii="Segoe UI" w:hAnsi="Segoe UI" w:cs="Segoe UI"/>
        </w:rPr>
        <w:t xml:space="preserve"> establish a safe deposit account that allows a carryover of a portion of annual unused water for use in later years.  Attached to both the leases and deposits is a conservation component.</w:t>
      </w:r>
    </w:p>
    <w:p w:rsidR="00D57176" w:rsidRPr="007F25A3" w:rsidRDefault="00D57176" w:rsidP="00AB4575">
      <w:pPr>
        <w:rPr>
          <w:rFonts w:ascii="Segoe UI" w:hAnsi="Segoe UI" w:cs="Segoe UI"/>
        </w:rPr>
      </w:pPr>
    </w:p>
    <w:p w:rsidR="00D57176" w:rsidRPr="007F25A3" w:rsidRDefault="00D57176" w:rsidP="00AB4575">
      <w:pPr>
        <w:rPr>
          <w:rFonts w:ascii="Segoe UI" w:hAnsi="Segoe UI" w:cs="Segoe UI"/>
        </w:rPr>
      </w:pPr>
      <w:r w:rsidRPr="007F25A3">
        <w:rPr>
          <w:rFonts w:ascii="Segoe UI" w:hAnsi="Segoe UI" w:cs="Segoe UI"/>
        </w:rPr>
        <w:t xml:space="preserve">The goal of the water bank is to reduce water use in priority management areas.  The </w:t>
      </w:r>
      <w:r w:rsidR="00F762E6">
        <w:rPr>
          <w:rFonts w:ascii="Segoe UI" w:hAnsi="Segoe UI" w:cs="Segoe UI"/>
        </w:rPr>
        <w:t>CKWB</w:t>
      </w:r>
      <w:r w:rsidR="008E50EA" w:rsidRPr="007F25A3">
        <w:rPr>
          <w:rFonts w:ascii="Segoe UI" w:hAnsi="Segoe UI" w:cs="Segoe UI"/>
        </w:rPr>
        <w:t xml:space="preserve"> </w:t>
      </w:r>
      <w:r w:rsidR="00F762E6">
        <w:rPr>
          <w:rFonts w:ascii="Segoe UI" w:hAnsi="Segoe UI" w:cs="Segoe UI"/>
        </w:rPr>
        <w:t>c</w:t>
      </w:r>
      <w:r w:rsidR="008E50EA" w:rsidRPr="007F25A3">
        <w:rPr>
          <w:rFonts w:ascii="Segoe UI" w:hAnsi="Segoe UI" w:cs="Segoe UI"/>
        </w:rPr>
        <w:t>harter require</w:t>
      </w:r>
      <w:r w:rsidR="00F762E6">
        <w:rPr>
          <w:rFonts w:ascii="Segoe UI" w:hAnsi="Segoe UI" w:cs="Segoe UI"/>
        </w:rPr>
        <w:t>s</w:t>
      </w:r>
      <w:r w:rsidR="008E50EA" w:rsidRPr="007F25A3">
        <w:rPr>
          <w:rFonts w:ascii="Segoe UI" w:hAnsi="Segoe UI" w:cs="Segoe UI"/>
        </w:rPr>
        <w:t xml:space="preserve"> a minimum ten percent savings in consumptive use</w:t>
      </w:r>
      <w:r w:rsidR="00F762E6">
        <w:rPr>
          <w:rFonts w:ascii="Segoe UI" w:hAnsi="Segoe UI" w:cs="Segoe UI"/>
        </w:rPr>
        <w:t xml:space="preserve"> and</w:t>
      </w:r>
      <w:r w:rsidR="008E50EA" w:rsidRPr="007F25A3">
        <w:rPr>
          <w:rFonts w:ascii="Segoe UI" w:hAnsi="Segoe UI" w:cs="Segoe UI"/>
        </w:rPr>
        <w:t xml:space="preserve"> prevents </w:t>
      </w:r>
      <w:r w:rsidR="000B3A87" w:rsidRPr="007F25A3">
        <w:rPr>
          <w:rFonts w:ascii="Segoe UI" w:hAnsi="Segoe UI" w:cs="Segoe UI"/>
        </w:rPr>
        <w:t>the movement of water</w:t>
      </w:r>
      <w:r w:rsidR="008E50EA" w:rsidRPr="007F25A3">
        <w:rPr>
          <w:rFonts w:ascii="Segoe UI" w:hAnsi="Segoe UI" w:cs="Segoe UI"/>
        </w:rPr>
        <w:t xml:space="preserve"> within two miles of the Rattlesnake Creek </w:t>
      </w:r>
      <w:r w:rsidR="000B3A87" w:rsidRPr="007F25A3">
        <w:rPr>
          <w:rFonts w:ascii="Segoe UI" w:hAnsi="Segoe UI" w:cs="Segoe UI"/>
        </w:rPr>
        <w:t xml:space="preserve">or to </w:t>
      </w:r>
      <w:r w:rsidR="008E50EA" w:rsidRPr="007F25A3">
        <w:rPr>
          <w:rFonts w:ascii="Segoe UI" w:hAnsi="Segoe UI" w:cs="Segoe UI"/>
        </w:rPr>
        <w:t>any are</w:t>
      </w:r>
      <w:r w:rsidR="000E69BE" w:rsidRPr="007F25A3">
        <w:rPr>
          <w:rFonts w:ascii="Segoe UI" w:hAnsi="Segoe UI" w:cs="Segoe UI"/>
        </w:rPr>
        <w:t>a</w:t>
      </w:r>
      <w:r w:rsidR="008E50EA" w:rsidRPr="007F25A3">
        <w:rPr>
          <w:rFonts w:ascii="Segoe UI" w:hAnsi="Segoe UI" w:cs="Segoe UI"/>
        </w:rPr>
        <w:t xml:space="preserve"> with over twenty feet of decline</w:t>
      </w:r>
      <w:r w:rsidR="0094362C">
        <w:rPr>
          <w:rFonts w:ascii="Segoe UI" w:hAnsi="Segoe UI" w:cs="Segoe UI"/>
        </w:rPr>
        <w:t xml:space="preserve"> since predevelopment</w:t>
      </w:r>
      <w:r w:rsidR="008E50EA" w:rsidRPr="007F25A3">
        <w:rPr>
          <w:rFonts w:ascii="Segoe UI" w:hAnsi="Segoe UI" w:cs="Segoe UI"/>
        </w:rPr>
        <w:t>.   Parameters used to determine the conservation component for each transaction are saturated thickness, sustainable yield</w:t>
      </w:r>
      <w:r w:rsidR="007643FC">
        <w:rPr>
          <w:rFonts w:ascii="Segoe UI" w:hAnsi="Segoe UI" w:cs="Segoe UI"/>
        </w:rPr>
        <w:t>,</w:t>
      </w:r>
      <w:r w:rsidR="008E50EA" w:rsidRPr="007F25A3">
        <w:rPr>
          <w:rFonts w:ascii="Segoe UI" w:hAnsi="Segoe UI" w:cs="Segoe UI"/>
        </w:rPr>
        <w:t xml:space="preserve"> </w:t>
      </w:r>
      <w:r w:rsidR="007643FC">
        <w:rPr>
          <w:rFonts w:ascii="Segoe UI" w:hAnsi="Segoe UI" w:cs="Segoe UI"/>
        </w:rPr>
        <w:t>proximity</w:t>
      </w:r>
      <w:r w:rsidR="008E50EA" w:rsidRPr="007F25A3">
        <w:rPr>
          <w:rFonts w:ascii="Segoe UI" w:hAnsi="Segoe UI" w:cs="Segoe UI"/>
        </w:rPr>
        <w:t xml:space="preserve"> to the stream</w:t>
      </w:r>
      <w:r w:rsidR="006D3709" w:rsidRPr="007F25A3">
        <w:rPr>
          <w:rFonts w:ascii="Segoe UI" w:hAnsi="Segoe UI" w:cs="Segoe UI"/>
        </w:rPr>
        <w:t>,</w:t>
      </w:r>
      <w:r w:rsidR="008E50EA" w:rsidRPr="007F25A3">
        <w:rPr>
          <w:rFonts w:ascii="Segoe UI" w:hAnsi="Segoe UI" w:cs="Segoe UI"/>
        </w:rPr>
        <w:t xml:space="preserve"> and the amount of groundwater decline</w:t>
      </w:r>
      <w:r w:rsidR="0059730D">
        <w:rPr>
          <w:rFonts w:ascii="Segoe UI" w:hAnsi="Segoe UI" w:cs="Segoe UI"/>
        </w:rPr>
        <w:t xml:space="preserve"> since predevelopment</w:t>
      </w:r>
      <w:r w:rsidR="008E50EA" w:rsidRPr="007F25A3">
        <w:rPr>
          <w:rFonts w:ascii="Segoe UI" w:hAnsi="Segoe UI" w:cs="Segoe UI"/>
        </w:rPr>
        <w:t>.</w:t>
      </w:r>
    </w:p>
    <w:p w:rsidR="00A81379" w:rsidRPr="007F25A3" w:rsidRDefault="00A81379" w:rsidP="00AB4575">
      <w:pPr>
        <w:rPr>
          <w:rFonts w:ascii="Segoe UI" w:hAnsi="Segoe UI" w:cs="Segoe UI"/>
        </w:rPr>
      </w:pPr>
    </w:p>
    <w:p w:rsidR="00297530" w:rsidRPr="007F25A3" w:rsidRDefault="00A81379" w:rsidP="00AB4575">
      <w:pPr>
        <w:rPr>
          <w:rFonts w:ascii="Segoe UI" w:hAnsi="Segoe UI" w:cs="Segoe UI"/>
        </w:rPr>
      </w:pPr>
      <w:r w:rsidRPr="007F25A3">
        <w:rPr>
          <w:rFonts w:ascii="Segoe UI" w:hAnsi="Segoe UI" w:cs="Segoe UI"/>
        </w:rPr>
        <w:t xml:space="preserve">The </w:t>
      </w:r>
      <w:r w:rsidR="00F762E6">
        <w:rPr>
          <w:rFonts w:ascii="Segoe UI" w:hAnsi="Segoe UI" w:cs="Segoe UI"/>
        </w:rPr>
        <w:t>CKWB</w:t>
      </w:r>
      <w:r w:rsidRPr="007F25A3">
        <w:rPr>
          <w:rFonts w:ascii="Segoe UI" w:hAnsi="Segoe UI" w:cs="Segoe UI"/>
        </w:rPr>
        <w:t xml:space="preserve"> uses </w:t>
      </w:r>
      <w:r w:rsidR="008F2651" w:rsidRPr="007F25A3">
        <w:rPr>
          <w:rFonts w:ascii="Segoe UI" w:hAnsi="Segoe UI" w:cs="Segoe UI"/>
        </w:rPr>
        <w:t xml:space="preserve">an online </w:t>
      </w:r>
      <w:r w:rsidRPr="007F25A3">
        <w:rPr>
          <w:rFonts w:ascii="Segoe UI" w:hAnsi="Segoe UI" w:cs="Segoe UI"/>
        </w:rPr>
        <w:t xml:space="preserve">bulletin board system that allows water users the ability to post water available for deposit and lease.  </w:t>
      </w:r>
      <w:r w:rsidR="007643FC">
        <w:rPr>
          <w:rFonts w:ascii="Segoe UI" w:hAnsi="Segoe UI" w:cs="Segoe UI"/>
        </w:rPr>
        <w:t>B</w:t>
      </w:r>
      <w:r w:rsidRPr="007F25A3">
        <w:rPr>
          <w:rFonts w:ascii="Segoe UI" w:hAnsi="Segoe UI" w:cs="Segoe UI"/>
        </w:rPr>
        <w:t xml:space="preserve">anking operations </w:t>
      </w:r>
      <w:r w:rsidR="007643FC">
        <w:rPr>
          <w:rFonts w:ascii="Segoe UI" w:hAnsi="Segoe UI" w:cs="Segoe UI"/>
        </w:rPr>
        <w:t>are currently being reviewed, as prescribed by the charter,</w:t>
      </w:r>
      <w:r w:rsidRPr="007F25A3">
        <w:rPr>
          <w:rFonts w:ascii="Segoe UI" w:hAnsi="Segoe UI" w:cs="Segoe UI"/>
        </w:rPr>
        <w:t xml:space="preserve"> to determine if the program has </w:t>
      </w:r>
      <w:r w:rsidR="008F2651" w:rsidRPr="007F25A3">
        <w:rPr>
          <w:rFonts w:ascii="Segoe UI" w:hAnsi="Segoe UI" w:cs="Segoe UI"/>
        </w:rPr>
        <w:t xml:space="preserve">positively </w:t>
      </w:r>
      <w:r w:rsidRPr="007F25A3">
        <w:rPr>
          <w:rFonts w:ascii="Segoe UI" w:hAnsi="Segoe UI" w:cs="Segoe UI"/>
        </w:rPr>
        <w:t>affected the subbasin.</w:t>
      </w:r>
      <w:r w:rsidR="00696BB3" w:rsidRPr="007F25A3">
        <w:rPr>
          <w:rFonts w:ascii="Segoe UI" w:hAnsi="Segoe UI" w:cs="Segoe UI"/>
        </w:rPr>
        <w:t xml:space="preserve">  Information about the </w:t>
      </w:r>
      <w:r w:rsidR="00F762E6">
        <w:rPr>
          <w:rFonts w:ascii="Segoe UI" w:hAnsi="Segoe UI" w:cs="Segoe UI"/>
        </w:rPr>
        <w:t>CKWB</w:t>
      </w:r>
      <w:r w:rsidR="008E2BE4" w:rsidRPr="007F25A3">
        <w:rPr>
          <w:rFonts w:ascii="Segoe UI" w:hAnsi="Segoe UI" w:cs="Segoe UI"/>
        </w:rPr>
        <w:t>,</w:t>
      </w:r>
      <w:r w:rsidR="00696BB3" w:rsidRPr="007F25A3">
        <w:rPr>
          <w:rFonts w:ascii="Segoe UI" w:hAnsi="Segoe UI" w:cs="Segoe UI"/>
        </w:rPr>
        <w:t xml:space="preserve"> as well as the bulletin board </w:t>
      </w:r>
      <w:r w:rsidR="008E2BE4" w:rsidRPr="007F25A3">
        <w:rPr>
          <w:rFonts w:ascii="Segoe UI" w:hAnsi="Segoe UI" w:cs="Segoe UI"/>
        </w:rPr>
        <w:t>itself, is</w:t>
      </w:r>
      <w:r w:rsidR="00696BB3" w:rsidRPr="007F25A3">
        <w:rPr>
          <w:rFonts w:ascii="Segoe UI" w:hAnsi="Segoe UI" w:cs="Segoe UI"/>
        </w:rPr>
        <w:t xml:space="preserve"> available at </w:t>
      </w:r>
      <w:hyperlink r:id="rId27" w:history="1">
        <w:r w:rsidR="00E41A04" w:rsidRPr="007F25A3">
          <w:rPr>
            <w:rStyle w:val="Hyperlink"/>
            <w:rFonts w:ascii="Segoe UI" w:hAnsi="Segoe UI" w:cs="Segoe UI"/>
          </w:rPr>
          <w:t>http://www.gmd5.org/Water_Bank/</w:t>
        </w:r>
      </w:hyperlink>
      <w:r w:rsidR="00E41A04" w:rsidRPr="007F25A3">
        <w:rPr>
          <w:rFonts w:ascii="Segoe UI" w:hAnsi="Segoe UI" w:cs="Segoe UI"/>
        </w:rPr>
        <w:t>.</w:t>
      </w:r>
    </w:p>
    <w:p w:rsidR="00390F97" w:rsidRPr="007F25A3" w:rsidRDefault="00390F97" w:rsidP="00AB4575">
      <w:pPr>
        <w:rPr>
          <w:rFonts w:ascii="Segoe UI" w:hAnsi="Segoe UI" w:cs="Segoe UI"/>
        </w:rPr>
      </w:pPr>
    </w:p>
    <w:p w:rsidR="00B4634B" w:rsidRPr="007F25A3" w:rsidRDefault="0006544A" w:rsidP="00AB4575">
      <w:pPr>
        <w:rPr>
          <w:rFonts w:ascii="Segoe UI" w:hAnsi="Segoe UI" w:cs="Segoe UI"/>
        </w:rPr>
      </w:pPr>
      <w:r>
        <w:rPr>
          <w:rFonts w:ascii="Segoe UI" w:hAnsi="Segoe UI" w:cs="Segoe UI"/>
        </w:rPr>
        <w:t xml:space="preserve">During the </w:t>
      </w:r>
      <w:r w:rsidR="00F762E6">
        <w:rPr>
          <w:rFonts w:ascii="Segoe UI" w:hAnsi="Segoe UI" w:cs="Segoe UI"/>
        </w:rPr>
        <w:t xml:space="preserve">Program’s </w:t>
      </w:r>
      <w:r>
        <w:rPr>
          <w:rFonts w:ascii="Segoe UI" w:hAnsi="Segoe UI" w:cs="Segoe UI"/>
        </w:rPr>
        <w:t xml:space="preserve">12-year implementation period, the </w:t>
      </w:r>
      <w:r w:rsidR="00F762E6">
        <w:rPr>
          <w:rFonts w:ascii="Segoe UI" w:hAnsi="Segoe UI" w:cs="Segoe UI"/>
        </w:rPr>
        <w:t>CKWB</w:t>
      </w:r>
      <w:r>
        <w:rPr>
          <w:rFonts w:ascii="Segoe UI" w:hAnsi="Segoe UI" w:cs="Segoe UI"/>
        </w:rPr>
        <w:t xml:space="preserve"> saved 49 acre-feet in the safety deposit program and 51 acre-feet in the deposit-lease program.  This is a total </w:t>
      </w:r>
      <w:r w:rsidR="00A842F6">
        <w:rPr>
          <w:rFonts w:ascii="Segoe UI" w:hAnsi="Segoe UI" w:cs="Segoe UI"/>
        </w:rPr>
        <w:t xml:space="preserve">average annual </w:t>
      </w:r>
      <w:r>
        <w:rPr>
          <w:rFonts w:ascii="Segoe UI" w:hAnsi="Segoe UI" w:cs="Segoe UI"/>
        </w:rPr>
        <w:t>savings of 100 acre-feet</w:t>
      </w:r>
      <w:r w:rsidR="00A842F6">
        <w:rPr>
          <w:rFonts w:ascii="Segoe UI" w:hAnsi="Segoe UI" w:cs="Segoe UI"/>
        </w:rPr>
        <w:t xml:space="preserve"> while the water rights remain deposited in the bank</w:t>
      </w:r>
      <w:r>
        <w:rPr>
          <w:rFonts w:ascii="Segoe UI" w:hAnsi="Segoe UI" w:cs="Segoe UI"/>
        </w:rPr>
        <w:t>.</w:t>
      </w:r>
    </w:p>
    <w:p w:rsidR="00E41A04" w:rsidRPr="007F25A3" w:rsidRDefault="00E41A04" w:rsidP="00AB4575">
      <w:pPr>
        <w:rPr>
          <w:rFonts w:ascii="Segoe UI" w:hAnsi="Segoe UI" w:cs="Segoe UI"/>
        </w:rPr>
      </w:pPr>
    </w:p>
    <w:p w:rsidR="00A81379" w:rsidRPr="007F25A3" w:rsidRDefault="00297530" w:rsidP="00AB4575">
      <w:pPr>
        <w:rPr>
          <w:rFonts w:ascii="Segoe UI" w:hAnsi="Segoe UI" w:cs="Segoe UI"/>
        </w:rPr>
      </w:pPr>
      <w:r w:rsidRPr="007F25A3">
        <w:rPr>
          <w:rFonts w:ascii="Segoe UI" w:hAnsi="Segoe UI" w:cs="Segoe UI"/>
        </w:rPr>
        <w:t xml:space="preserve">The water savings goal </w:t>
      </w:r>
      <w:r w:rsidR="007643FC">
        <w:rPr>
          <w:rFonts w:ascii="Segoe UI" w:hAnsi="Segoe UI" w:cs="Segoe UI"/>
        </w:rPr>
        <w:t xml:space="preserve">set out in the Program </w:t>
      </w:r>
      <w:r w:rsidR="00DC6C93" w:rsidRPr="007F25A3">
        <w:rPr>
          <w:rFonts w:ascii="Segoe UI" w:hAnsi="Segoe UI" w:cs="Segoe UI"/>
        </w:rPr>
        <w:t xml:space="preserve">is </w:t>
      </w:r>
      <w:r w:rsidRPr="007F25A3">
        <w:rPr>
          <w:rFonts w:ascii="Segoe UI" w:hAnsi="Segoe UI" w:cs="Segoe UI"/>
        </w:rPr>
        <w:t>2,390 acre-feet.</w:t>
      </w:r>
    </w:p>
    <w:p w:rsidR="00D2216B" w:rsidRPr="007F25A3" w:rsidRDefault="00443753" w:rsidP="00265D64">
      <w:pPr>
        <w:pStyle w:val="Heading2"/>
        <w:rPr>
          <w:rFonts w:ascii="Segoe UI" w:hAnsi="Segoe UI" w:cs="Segoe UI"/>
          <w:i w:val="0"/>
        </w:rPr>
      </w:pPr>
      <w:bookmarkStart w:id="97" w:name="_Toc334007521"/>
      <w:bookmarkStart w:id="98" w:name="_Toc213563395"/>
      <w:r w:rsidRPr="007F25A3">
        <w:rPr>
          <w:rFonts w:ascii="Segoe UI" w:hAnsi="Segoe UI" w:cs="Segoe UI"/>
          <w:i w:val="0"/>
        </w:rPr>
        <w:lastRenderedPageBreak/>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97"/>
      <w:r w:rsidR="00D2216B" w:rsidRPr="007F25A3">
        <w:rPr>
          <w:rFonts w:ascii="Segoe UI" w:hAnsi="Segoe UI" w:cs="Segoe UI"/>
          <w:i w:val="0"/>
        </w:rPr>
        <w:t xml:space="preserve"> </w:t>
      </w:r>
      <w:bookmarkEnd w:id="98"/>
    </w:p>
    <w:p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rsidR="00D2216B" w:rsidRPr="007F25A3" w:rsidRDefault="00D2216B" w:rsidP="00D2216B">
      <w:pPr>
        <w:rPr>
          <w:rFonts w:ascii="Segoe UI" w:hAnsi="Segoe UI" w:cs="Segoe UI"/>
        </w:rPr>
      </w:pPr>
    </w:p>
    <w:p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rsidR="000B3A87" w:rsidRPr="007F25A3" w:rsidRDefault="000B3A87" w:rsidP="00D2216B">
      <w:pPr>
        <w:rPr>
          <w:rFonts w:ascii="Segoe UI" w:hAnsi="Segoe UI" w:cs="Segoe UI"/>
        </w:rPr>
      </w:pPr>
    </w:p>
    <w:p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rsidR="00972D1C" w:rsidRDefault="00972D1C" w:rsidP="00D2216B">
      <w:pPr>
        <w:rPr>
          <w:rFonts w:ascii="Segoe UI" w:hAnsi="Segoe UI" w:cs="Segoe UI"/>
        </w:rPr>
      </w:pPr>
    </w:p>
    <w:p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rsidR="002A45A3" w:rsidRPr="007F25A3" w:rsidRDefault="00443753" w:rsidP="002A45A3">
      <w:pPr>
        <w:pStyle w:val="Heading2"/>
        <w:rPr>
          <w:rFonts w:ascii="Segoe UI" w:hAnsi="Segoe UI" w:cs="Segoe UI"/>
          <w:i w:val="0"/>
          <w:iCs w:val="0"/>
        </w:rPr>
      </w:pPr>
      <w:bookmarkStart w:id="99" w:name="_Toc213563396"/>
      <w:bookmarkStart w:id="100" w:name="_Toc334007522"/>
      <w:r w:rsidRPr="007F25A3">
        <w:rPr>
          <w:rFonts w:ascii="Segoe UI" w:hAnsi="Segoe UI" w:cs="Segoe UI"/>
          <w:i w:val="0"/>
          <w:iCs w:val="0"/>
        </w:rPr>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99"/>
      <w:bookmarkEnd w:id="100"/>
    </w:p>
    <w:p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cost-share contributions,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re-nozzling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rsidR="009022F2" w:rsidRPr="007F25A3" w:rsidRDefault="009022F2" w:rsidP="009022F2">
      <w:pPr>
        <w:rPr>
          <w:rFonts w:ascii="Segoe UI" w:hAnsi="Segoe UI" w:cs="Segoe UI"/>
        </w:rPr>
      </w:pPr>
    </w:p>
    <w:p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years unless the water right is enrolled into the Water Rights Conservation Program for 5-10 years.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rsidR="002A1B6F" w:rsidRPr="007F25A3" w:rsidRDefault="002A1B6F" w:rsidP="009022F2">
      <w:pPr>
        <w:rPr>
          <w:rFonts w:ascii="Segoe UI" w:hAnsi="Segoe UI" w:cs="Segoe UI"/>
        </w:rPr>
      </w:pPr>
    </w:p>
    <w:p w:rsidR="00CF5B17" w:rsidRPr="007F25A3" w:rsidRDefault="00CF5B17" w:rsidP="009022F2">
      <w:pPr>
        <w:rPr>
          <w:rFonts w:ascii="Segoe UI" w:hAnsi="Segoe UI" w:cs="Segoe UI"/>
        </w:rPr>
      </w:pPr>
      <w:r w:rsidRPr="007F25A3">
        <w:rPr>
          <w:rFonts w:ascii="Segoe UI" w:hAnsi="Segoe UI" w:cs="Segoe UI"/>
        </w:rPr>
        <w:lastRenderedPageBreak/>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rsidR="00DC6C93" w:rsidRPr="007F25A3" w:rsidRDefault="00DC6C93" w:rsidP="009022F2">
      <w:pPr>
        <w:rPr>
          <w:rFonts w:ascii="Segoe UI" w:hAnsi="Segoe UI" w:cs="Segoe UI"/>
        </w:rPr>
      </w:pPr>
    </w:p>
    <w:p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rsidR="002A45A3" w:rsidRPr="007F25A3" w:rsidRDefault="00443753" w:rsidP="002A45A3">
      <w:pPr>
        <w:pStyle w:val="Heading2"/>
        <w:rPr>
          <w:rFonts w:ascii="Segoe UI" w:hAnsi="Segoe UI" w:cs="Segoe UI"/>
          <w:i w:val="0"/>
          <w:iCs w:val="0"/>
        </w:rPr>
      </w:pPr>
      <w:bookmarkStart w:id="101" w:name="_Toc213563397"/>
      <w:bookmarkStart w:id="102" w:name="_Toc334007523"/>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101"/>
      <w:bookmarkEnd w:id="102"/>
    </w:p>
    <w:p w:rsidR="008C4267" w:rsidRPr="007F25A3" w:rsidRDefault="008C4267" w:rsidP="008C4267">
      <w:pPr>
        <w:rPr>
          <w:rFonts w:ascii="Segoe UI" w:hAnsi="Segoe UI" w:cs="Segoe UI"/>
          <w:b/>
        </w:rPr>
      </w:pPr>
      <w:r w:rsidRPr="007F25A3">
        <w:rPr>
          <w:rFonts w:ascii="Segoe UI" w:hAnsi="Segoe UI" w:cs="Segoe UI"/>
          <w:b/>
        </w:rPr>
        <w:t>2000-2004</w:t>
      </w:r>
    </w:p>
    <w:p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in exchange for a credit toward any reduction required by alternative management actions implemented in accordance with the Rattlesnake Creek Subbasin Management Program.  Participation for this program expired March 31, 2004 with no enrollment.</w:t>
      </w:r>
    </w:p>
    <w:p w:rsidR="00787048" w:rsidRPr="007F25A3" w:rsidRDefault="00787048" w:rsidP="00C44757">
      <w:pPr>
        <w:rPr>
          <w:rFonts w:ascii="Segoe UI" w:hAnsi="Segoe UI" w:cs="Segoe UI"/>
        </w:rPr>
      </w:pPr>
    </w:p>
    <w:p w:rsidR="00C57493" w:rsidRPr="007F25A3" w:rsidRDefault="00C57493" w:rsidP="00C44757">
      <w:pPr>
        <w:rPr>
          <w:rFonts w:ascii="Segoe UI" w:hAnsi="Segoe UI" w:cs="Segoe UI"/>
          <w:b/>
        </w:rPr>
      </w:pPr>
      <w:r w:rsidRPr="007F25A3">
        <w:rPr>
          <w:rFonts w:ascii="Segoe UI" w:hAnsi="Segoe UI" w:cs="Segoe UI"/>
          <w:b/>
        </w:rPr>
        <w:t>2004-2008</w:t>
      </w:r>
    </w:p>
    <w:p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 xml:space="preserve">GMD 5 reports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rsidR="00DD1396" w:rsidRDefault="00DD1396" w:rsidP="00E1288A">
      <w:pPr>
        <w:pStyle w:val="NoSpacing"/>
        <w:rPr>
          <w:rFonts w:cs="Segoe UI"/>
          <w:b/>
        </w:rPr>
      </w:pPr>
      <w:bookmarkStart w:id="103" w:name="_Toc213563398"/>
    </w:p>
    <w:p w:rsidR="00E1288A" w:rsidRDefault="00E1288A" w:rsidP="00E1288A">
      <w:pPr>
        <w:pStyle w:val="NoSpacing"/>
        <w:rPr>
          <w:rFonts w:cs="Segoe UI"/>
          <w:b/>
        </w:rPr>
      </w:pPr>
      <w:r>
        <w:rPr>
          <w:rFonts w:cs="Segoe UI"/>
          <w:b/>
        </w:rPr>
        <w:t>2009-2012</w:t>
      </w:r>
    </w:p>
    <w:p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rsidR="00C83079" w:rsidRDefault="00C83079" w:rsidP="00E1288A">
      <w:pPr>
        <w:pStyle w:val="NoSpacing"/>
        <w:rPr>
          <w:rFonts w:cs="Segoe UI"/>
        </w:rPr>
      </w:pPr>
    </w:p>
    <w:p w:rsidR="00FB7A29" w:rsidRDefault="00C83079" w:rsidP="00E1288A">
      <w:pPr>
        <w:pStyle w:val="NoSpacing"/>
        <w:rPr>
          <w:rFonts w:cs="Segoe UI"/>
        </w:rPr>
      </w:pPr>
      <w:r>
        <w:rPr>
          <w:rFonts w:cs="Segoe UI"/>
        </w:rPr>
        <w:t>GMD</w:t>
      </w:r>
      <w:r w:rsidR="00DF5A66">
        <w:rPr>
          <w:rFonts w:cs="Segoe UI"/>
        </w:rPr>
        <w:t xml:space="preserve"> </w:t>
      </w:r>
      <w:r>
        <w:rPr>
          <w:rFonts w:cs="Segoe UI"/>
        </w:rPr>
        <w:t>5 and DWR disagree on the method for determining w</w:t>
      </w:r>
      <w:r w:rsidR="00021819">
        <w:rPr>
          <w:rFonts w:cs="Segoe UI"/>
        </w:rPr>
        <w:t xml:space="preserve">ater savings </w:t>
      </w:r>
      <w:r>
        <w:rPr>
          <w:rFonts w:cs="Segoe UI"/>
        </w:rPr>
        <w:t>from the AWEP end gun removal program.  As a condition of support for the program DWR required that participants reduce their number of authorized acres but the authorized quantity of the water right was left unchanged.  This meant that the water right effectively made more water available per authorized acre.  GMD</w:t>
      </w:r>
      <w:r w:rsidR="00DF5A66">
        <w:rPr>
          <w:rFonts w:cs="Segoe UI"/>
        </w:rPr>
        <w:t xml:space="preserve"> </w:t>
      </w:r>
      <w:r>
        <w:rPr>
          <w:rFonts w:cs="Segoe UI"/>
        </w:rPr>
        <w:t xml:space="preserve">5 calculates the water savings by multiplying the acres reduced by the nominal 1.4 acre-feet per acre irrigation depth </w:t>
      </w:r>
      <w:r w:rsidR="00FB7A29">
        <w:rPr>
          <w:rFonts w:cs="Segoe UI"/>
        </w:rPr>
        <w:t xml:space="preserve">factor used in their calculation of the saving from the 2006-2008 voluntary removal program.  </w:t>
      </w:r>
      <w:r w:rsidR="00BF52B3">
        <w:rPr>
          <w:rFonts w:cs="Segoe UI"/>
        </w:rPr>
        <w:t>In this way, GMD5 calculates a</w:t>
      </w:r>
      <w:r w:rsidR="00DF5A66">
        <w:rPr>
          <w:rFonts w:cs="Segoe UI"/>
        </w:rPr>
        <w:t>n annual average</w:t>
      </w:r>
      <w:r w:rsidR="00BF52B3">
        <w:rPr>
          <w:rFonts w:cs="Segoe UI"/>
        </w:rPr>
        <w:t xml:space="preserve"> </w:t>
      </w:r>
      <w:r w:rsidR="00FB7A29">
        <w:rPr>
          <w:rFonts w:cs="Segoe UI"/>
        </w:rPr>
        <w:t>savings of 3</w:t>
      </w:r>
      <w:r w:rsidR="00F03195">
        <w:rPr>
          <w:rFonts w:cs="Segoe UI"/>
        </w:rPr>
        <w:t>,</w:t>
      </w:r>
      <w:r w:rsidR="00FB7A29">
        <w:rPr>
          <w:rFonts w:cs="Segoe UI"/>
        </w:rPr>
        <w:t>104.21 acre-feet.</w:t>
      </w:r>
    </w:p>
    <w:p w:rsidR="00FB7A29" w:rsidRDefault="00FB7A29" w:rsidP="00E1288A">
      <w:pPr>
        <w:pStyle w:val="NoSpacing"/>
        <w:rPr>
          <w:rFonts w:cs="Segoe UI"/>
        </w:rPr>
      </w:pPr>
    </w:p>
    <w:p w:rsidR="00E1288A" w:rsidRDefault="00FB7A29" w:rsidP="00E1288A">
      <w:pPr>
        <w:pStyle w:val="NoSpacing"/>
        <w:rPr>
          <w:rFonts w:cs="Segoe UI"/>
        </w:rPr>
      </w:pPr>
      <w:r>
        <w:rPr>
          <w:rFonts w:cs="Segoe UI"/>
        </w:rPr>
        <w:t xml:space="preserve">DWR’s method counts as savings only the water that would have been applied by the end gun – </w:t>
      </w:r>
      <w:r w:rsidR="002E417B">
        <w:rPr>
          <w:rFonts w:cs="Segoe UI"/>
        </w:rPr>
        <w:t xml:space="preserve">1.5 acre-feet per acre times </w:t>
      </w:r>
      <w:r>
        <w:rPr>
          <w:rFonts w:cs="Segoe UI"/>
        </w:rPr>
        <w:t>7.5 acres per quarter section – and assumes that the remaining acreage that was reduced was not irrigated in the first place and therefore there is no water savings associated with it.  Furthermore, if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r>
        <w:rPr>
          <w:rFonts w:cs="Segoe UI"/>
        </w:rPr>
        <w:t xml:space="preserve">  </w:t>
      </w:r>
    </w:p>
    <w:p w:rsidR="004B2B43" w:rsidRDefault="004B2B43" w:rsidP="00E1288A">
      <w:pPr>
        <w:pStyle w:val="NoSpacing"/>
        <w:rPr>
          <w:rFonts w:cs="Segoe UI"/>
        </w:rPr>
      </w:pPr>
    </w:p>
    <w:p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r w:rsidR="00B002B6">
        <w:rPr>
          <w:rFonts w:ascii="Segoe UI" w:hAnsi="Segoe UI" w:cs="Segoe UI"/>
        </w:rPr>
        <w:t xml:space="preserve">  </w:t>
      </w:r>
    </w:p>
    <w:p w:rsidR="002A45A3" w:rsidRPr="007F25A3" w:rsidRDefault="00443753" w:rsidP="002A45A3">
      <w:pPr>
        <w:pStyle w:val="Heading2"/>
        <w:rPr>
          <w:rFonts w:ascii="Segoe UI" w:hAnsi="Segoe UI" w:cs="Segoe UI"/>
          <w:i w:val="0"/>
          <w:iCs w:val="0"/>
        </w:rPr>
      </w:pPr>
      <w:bookmarkStart w:id="104" w:name="_Toc334007524"/>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103"/>
      <w:bookmarkEnd w:id="104"/>
    </w:p>
    <w:p w:rsidR="002A45A3" w:rsidRPr="007F25A3" w:rsidRDefault="000356A0" w:rsidP="002A45A3">
      <w:pPr>
        <w:rPr>
          <w:rFonts w:ascii="Segoe UI" w:hAnsi="Segoe UI" w:cs="Segoe UI"/>
        </w:rPr>
      </w:pPr>
      <w:r>
        <w:rPr>
          <w:rFonts w:ascii="Segoe UI" w:hAnsi="Segoe UI" w:cs="Segoe UI"/>
        </w:rPr>
        <w:t>DWR</w:t>
      </w:r>
      <w:r w:rsidR="002A45A3" w:rsidRPr="007F25A3">
        <w:rPr>
          <w:rFonts w:ascii="Segoe UI" w:hAnsi="Segoe UI" w:cs="Segoe UI"/>
        </w:rPr>
        <w:t xml:space="preserve"> assistance from GMD 5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rsidR="006B0D1E" w:rsidRPr="007F25A3" w:rsidRDefault="006B0D1E" w:rsidP="002A45A3">
      <w:pPr>
        <w:rPr>
          <w:rFonts w:ascii="Segoe UI" w:hAnsi="Segoe UI" w:cs="Segoe UI"/>
        </w:rPr>
      </w:pPr>
    </w:p>
    <w:p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Overpumping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rsidR="003257C6" w:rsidRDefault="003257C6" w:rsidP="002A45A3">
      <w:pPr>
        <w:rPr>
          <w:rFonts w:ascii="Segoe UI" w:hAnsi="Segoe UI" w:cs="Segoe UI"/>
        </w:rPr>
      </w:pPr>
    </w:p>
    <w:p w:rsidR="003257C6" w:rsidRPr="007F25A3" w:rsidRDefault="003257C6" w:rsidP="002A45A3">
      <w:pPr>
        <w:rPr>
          <w:rFonts w:ascii="Segoe UI" w:hAnsi="Segoe UI" w:cs="Segoe UI"/>
        </w:rPr>
      </w:pPr>
      <w:r>
        <w:rPr>
          <w:rFonts w:ascii="Segoe UI" w:hAnsi="Segoe UI" w:cs="Segoe UI"/>
        </w:rPr>
        <w:t xml:space="preserve">DWR targeted water right groups that had overpumped </w:t>
      </w:r>
      <w:r w:rsidR="00CA4AD1">
        <w:rPr>
          <w:rFonts w:ascii="Segoe UI" w:hAnsi="Segoe UI" w:cs="Segoe UI"/>
        </w:rPr>
        <w:t>three out of the last five years, with each of those years being overpumped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rsidR="00977A2A" w:rsidRPr="007F25A3" w:rsidRDefault="00977A2A" w:rsidP="002A45A3">
      <w:pPr>
        <w:rPr>
          <w:rFonts w:ascii="Segoe UI" w:hAnsi="Segoe UI" w:cs="Segoe UI"/>
        </w:rPr>
      </w:pPr>
    </w:p>
    <w:p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 xml:space="preserve">During the final 4-year review, only two additional water right </w:t>
      </w:r>
      <w:r w:rsidR="002B2DE2">
        <w:rPr>
          <w:rFonts w:ascii="Segoe UI" w:hAnsi="Segoe UI" w:cs="Segoe UI"/>
        </w:rPr>
        <w:lastRenderedPageBreak/>
        <w:t>groups have been added the BRO list.  Their water use since being added to the BRO list 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rsidR="003257C6" w:rsidRPr="007F25A3" w:rsidRDefault="003257C6" w:rsidP="002A45A3">
      <w:pPr>
        <w:rPr>
          <w:rFonts w:ascii="Segoe UI" w:hAnsi="Segoe UI" w:cs="Segoe UI"/>
        </w:rPr>
      </w:pPr>
    </w:p>
    <w:p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rsidR="00B638CE" w:rsidRPr="007F25A3" w:rsidRDefault="00443753" w:rsidP="00B638CE">
      <w:pPr>
        <w:pStyle w:val="Heading2"/>
        <w:rPr>
          <w:rFonts w:ascii="Segoe UI" w:hAnsi="Segoe UI" w:cs="Segoe UI"/>
          <w:i w:val="0"/>
          <w:iCs w:val="0"/>
        </w:rPr>
      </w:pPr>
      <w:bookmarkStart w:id="105" w:name="_Toc213563399"/>
      <w:bookmarkStart w:id="106" w:name="_Toc334007525"/>
      <w:r w:rsidRPr="007F25A3">
        <w:rPr>
          <w:rFonts w:ascii="Segoe UI" w:hAnsi="Segoe UI" w:cs="Segoe UI"/>
          <w:i w:val="0"/>
          <w:iCs w:val="0"/>
        </w:rPr>
        <w:t>G</w:t>
      </w:r>
      <w:r w:rsidR="00B638CE" w:rsidRPr="007F25A3">
        <w:rPr>
          <w:rFonts w:ascii="Segoe UI" w:hAnsi="Segoe UI" w:cs="Segoe UI"/>
          <w:i w:val="0"/>
          <w:iCs w:val="0"/>
        </w:rPr>
        <w:t>. Water Appropriation Transfers</w:t>
      </w:r>
      <w:bookmarkEnd w:id="105"/>
      <w:bookmarkEnd w:id="106"/>
    </w:p>
    <w:p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rsidR="00D2318C" w:rsidRPr="007F25A3" w:rsidRDefault="00D2318C" w:rsidP="00B638CE">
      <w:pPr>
        <w:rPr>
          <w:rFonts w:ascii="Segoe UI" w:hAnsi="Segoe UI" w:cs="Segoe UI"/>
        </w:rPr>
      </w:pPr>
    </w:p>
    <w:p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rsidR="00D2318C" w:rsidRPr="007F25A3" w:rsidRDefault="00D2318C" w:rsidP="00B638CE">
      <w:pPr>
        <w:rPr>
          <w:rFonts w:ascii="Segoe UI" w:hAnsi="Segoe UI" w:cs="Segoe UI"/>
        </w:rPr>
      </w:pPr>
    </w:p>
    <w:p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has resulted in theoretical annual average savings of 30 acre-feet in the subbasin.  But perhaps the greatest benefit of this strategy has been to reduce the immediate impact of pumping on Rattlesnake Creek by moving 1,090 acre-feet of authorized quantity out of the stream corridor.</w:t>
      </w:r>
    </w:p>
    <w:p w:rsidR="00390F97" w:rsidRPr="007F25A3" w:rsidRDefault="00390F97" w:rsidP="00B638CE">
      <w:pPr>
        <w:rPr>
          <w:rFonts w:ascii="Segoe UI" w:hAnsi="Segoe UI" w:cs="Segoe UI"/>
        </w:rPr>
      </w:pPr>
    </w:p>
    <w:p w:rsidR="00770C14" w:rsidRPr="007F25A3" w:rsidRDefault="00770C14" w:rsidP="00770C14">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p>
    <w:p w:rsidR="0054239D" w:rsidRPr="007F25A3" w:rsidRDefault="00443753" w:rsidP="00265D64">
      <w:pPr>
        <w:pStyle w:val="Heading2"/>
        <w:rPr>
          <w:rFonts w:ascii="Segoe UI" w:hAnsi="Segoe UI" w:cs="Segoe UI"/>
          <w:i w:val="0"/>
        </w:rPr>
      </w:pPr>
      <w:bookmarkStart w:id="107" w:name="_Toc213563400"/>
      <w:bookmarkStart w:id="108" w:name="_Toc334007526"/>
      <w:r w:rsidRPr="007F25A3">
        <w:rPr>
          <w:rFonts w:ascii="Segoe UI" w:hAnsi="Segoe UI" w:cs="Segoe UI"/>
          <w:i w:val="0"/>
        </w:rPr>
        <w:t>H</w:t>
      </w:r>
      <w:r w:rsidR="00DF2DE3" w:rsidRPr="007F25A3">
        <w:rPr>
          <w:rFonts w:ascii="Segoe UI" w:hAnsi="Segoe UI" w:cs="Segoe UI"/>
          <w:i w:val="0"/>
        </w:rPr>
        <w:t>. Mineral Intrusion Area-Replacement Wells</w:t>
      </w:r>
      <w:bookmarkEnd w:id="107"/>
      <w:bookmarkEnd w:id="108"/>
    </w:p>
    <w:p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The survey included 87 water rights covering 84 points of diversion with 79 samples collected in August 2001.</w:t>
      </w:r>
    </w:p>
    <w:p w:rsidR="00DF2DE3" w:rsidRPr="007F25A3" w:rsidRDefault="00DF2DE3" w:rsidP="00DF2DE3">
      <w:pPr>
        <w:rPr>
          <w:rFonts w:ascii="Segoe UI" w:hAnsi="Segoe UI" w:cs="Segoe UI"/>
        </w:rPr>
      </w:pPr>
    </w:p>
    <w:p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rsidR="00DF2DE3" w:rsidRPr="007F25A3" w:rsidRDefault="00DF2DE3" w:rsidP="00DF2DE3">
      <w:pPr>
        <w:rPr>
          <w:rFonts w:ascii="Segoe UI" w:hAnsi="Segoe UI" w:cs="Segoe UI"/>
        </w:rPr>
      </w:pPr>
    </w:p>
    <w:p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rsidR="00DF2DE3" w:rsidRPr="007F25A3" w:rsidRDefault="00443753" w:rsidP="00265D64">
      <w:pPr>
        <w:pStyle w:val="Heading2"/>
        <w:rPr>
          <w:rFonts w:ascii="Segoe UI" w:hAnsi="Segoe UI" w:cs="Segoe UI"/>
          <w:i w:val="0"/>
        </w:rPr>
      </w:pPr>
      <w:bookmarkStart w:id="109" w:name="_Toc213563401"/>
      <w:bookmarkStart w:id="110" w:name="_Toc334007527"/>
      <w:r w:rsidRPr="007F25A3">
        <w:rPr>
          <w:rFonts w:ascii="Segoe UI" w:hAnsi="Segoe UI" w:cs="Segoe UI"/>
          <w:i w:val="0"/>
        </w:rPr>
        <w:t>I</w:t>
      </w:r>
      <w:r w:rsidR="00D64824" w:rsidRPr="007F25A3">
        <w:rPr>
          <w:rFonts w:ascii="Segoe UI" w:hAnsi="Segoe UI" w:cs="Segoe UI"/>
          <w:i w:val="0"/>
        </w:rPr>
        <w:t xml:space="preserve">.  </w:t>
      </w:r>
      <w:r w:rsidR="00E06312" w:rsidRPr="007F25A3">
        <w:rPr>
          <w:rFonts w:ascii="Segoe UI" w:hAnsi="Segoe UI" w:cs="Segoe UI"/>
          <w:i w:val="0"/>
        </w:rPr>
        <w:t>Augmentation</w:t>
      </w:r>
      <w:bookmarkEnd w:id="109"/>
      <w:bookmarkEnd w:id="110"/>
      <w:r w:rsidR="00DF2DE3" w:rsidRPr="007F25A3">
        <w:rPr>
          <w:rFonts w:ascii="Segoe UI" w:hAnsi="Segoe UI" w:cs="Segoe UI"/>
          <w:i w:val="0"/>
        </w:rPr>
        <w:t xml:space="preserve">  </w:t>
      </w:r>
    </w:p>
    <w:p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r w:rsidR="00B93CA3">
        <w:rPr>
          <w:rFonts w:ascii="Segoe UI" w:hAnsi="Segoe UI" w:cs="Segoe UI"/>
        </w:rPr>
        <w:t xml:space="preserve">should </w:t>
      </w:r>
      <w:r w:rsidR="00237016" w:rsidRPr="007F25A3">
        <w:rPr>
          <w:rFonts w:ascii="Segoe UI" w:hAnsi="Segoe UI" w:cs="Segoe UI"/>
        </w:rPr>
        <w:t>be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r w:rsidR="00AA3F7F">
        <w:rPr>
          <w:rFonts w:ascii="Segoe UI" w:hAnsi="Segoe UI" w:cs="Segoe UI"/>
        </w:rPr>
        <w:t>No action was taken.</w:t>
      </w:r>
    </w:p>
    <w:p w:rsidR="002C42A1" w:rsidRDefault="002C42A1" w:rsidP="00D64824">
      <w:pPr>
        <w:rPr>
          <w:rFonts w:ascii="Segoe UI" w:hAnsi="Segoe UI" w:cs="Segoe UI"/>
        </w:rPr>
      </w:pPr>
    </w:p>
    <w:p w:rsidR="00D64824" w:rsidRPr="007F25A3" w:rsidRDefault="002C42A1" w:rsidP="00D64824">
      <w:pPr>
        <w:rPr>
          <w:rFonts w:ascii="Segoe UI" w:hAnsi="Segoe UI" w:cs="Segoe UI"/>
        </w:rPr>
      </w:pPr>
      <w:r>
        <w:rPr>
          <w:rFonts w:ascii="Segoe UI" w:hAnsi="Segoe UI" w:cs="Segoe UI"/>
        </w:rPr>
        <w:lastRenderedPageBreak/>
        <w:t xml:space="preserve">In April 2012, GMD 5 authorized the purchase of approximately 400 acre-feet of water rights in the Rattlesnake Creek corridor.  The transaction is still pending, but if successful this water right could be </w:t>
      </w:r>
      <w:r w:rsidR="00EA62E5">
        <w:rPr>
          <w:rFonts w:ascii="Segoe UI" w:hAnsi="Segoe UI" w:cs="Segoe UI"/>
        </w:rPr>
        <w:t>retired or transferred out of the corridor to reduce pumping effects on streamflow, or used to supply augmentation water to the river, or some combination of these.</w:t>
      </w:r>
    </w:p>
    <w:p w:rsidR="00237016" w:rsidRPr="007F25A3" w:rsidRDefault="00443753" w:rsidP="00265D64">
      <w:pPr>
        <w:pStyle w:val="Heading2"/>
        <w:rPr>
          <w:rFonts w:ascii="Segoe UI" w:hAnsi="Segoe UI" w:cs="Segoe UI"/>
          <w:i w:val="0"/>
        </w:rPr>
      </w:pPr>
      <w:bookmarkStart w:id="111" w:name="_Toc213563402"/>
      <w:bookmarkStart w:id="112" w:name="_Toc334007528"/>
      <w:r w:rsidRPr="007F25A3">
        <w:rPr>
          <w:rFonts w:ascii="Segoe UI" w:hAnsi="Segoe UI" w:cs="Segoe UI"/>
          <w:i w:val="0"/>
        </w:rPr>
        <w:t>J</w:t>
      </w:r>
      <w:r w:rsidR="00237016" w:rsidRPr="007F25A3">
        <w:rPr>
          <w:rFonts w:ascii="Segoe UI" w:hAnsi="Segoe UI" w:cs="Segoe UI"/>
          <w:i w:val="0"/>
        </w:rPr>
        <w:t>. Low Head Dams</w:t>
      </w:r>
      <w:bookmarkEnd w:id="111"/>
      <w:bookmarkEnd w:id="112"/>
    </w:p>
    <w:p w:rsidR="0004519E" w:rsidRPr="00944794" w:rsidRDefault="0004519E" w:rsidP="00FC6E57">
      <w:pPr>
        <w:rPr>
          <w:rFonts w:ascii="Segoe UI" w:hAnsi="Segoe UI" w:cs="Segoe UI"/>
        </w:rPr>
      </w:pPr>
      <w:r w:rsidRPr="00944794">
        <w:rPr>
          <w:rFonts w:ascii="Segoe UI" w:hAnsi="Segoe UI" w:cs="Segoe UI"/>
        </w:rPr>
        <w:t>A study completed in 1999 for the Quivira National Wildlife Refuge by Burns and McDonnell indicate</w:t>
      </w:r>
      <w:r w:rsidR="00EA62E5" w:rsidRPr="00944794">
        <w:rPr>
          <w:rFonts w:ascii="Segoe UI" w:hAnsi="Segoe UI" w:cs="Segoe UI"/>
        </w:rPr>
        <w:t>s</w:t>
      </w:r>
      <w:r w:rsidRPr="00944794">
        <w:rPr>
          <w:rFonts w:ascii="Segoe UI" w:hAnsi="Segoe UI" w:cs="Segoe UI"/>
        </w:rPr>
        <w:t xml:space="preserve"> recharge estimates of as much as 2</w:t>
      </w:r>
      <w:r w:rsidR="00845F24" w:rsidRPr="00944794">
        <w:rPr>
          <w:rFonts w:ascii="Segoe UI" w:hAnsi="Segoe UI" w:cs="Segoe UI"/>
        </w:rPr>
        <w:t>,</w:t>
      </w:r>
      <w:r w:rsidRPr="00944794">
        <w:rPr>
          <w:rFonts w:ascii="Segoe UI" w:hAnsi="Segoe UI" w:cs="Segoe UI"/>
        </w:rPr>
        <w:t>500 to 5</w:t>
      </w:r>
      <w:r w:rsidR="00845F24" w:rsidRPr="00944794">
        <w:rPr>
          <w:rFonts w:ascii="Segoe UI" w:hAnsi="Segoe UI" w:cs="Segoe UI"/>
        </w:rPr>
        <w:t>,</w:t>
      </w:r>
      <w:r w:rsidRPr="00944794">
        <w:rPr>
          <w:rFonts w:ascii="Segoe UI" w:hAnsi="Segoe UI" w:cs="Segoe UI"/>
        </w:rPr>
        <w:t xml:space="preserve">000 acre-feet per year by constructing a number of low head dams on the Wild Horse Creek, which is a tributary to the Rattlesnake Creek and overlies much of the area where declines occur.  GMD 5 </w:t>
      </w:r>
      <w:r w:rsidR="006C518A" w:rsidRPr="00944794">
        <w:rPr>
          <w:rFonts w:ascii="Segoe UI" w:hAnsi="Segoe UI" w:cs="Segoe UI"/>
        </w:rPr>
        <w:t>unsuccessfully sought</w:t>
      </w:r>
      <w:r w:rsidRPr="00944794">
        <w:rPr>
          <w:rFonts w:ascii="Segoe UI" w:hAnsi="Segoe UI" w:cs="Segoe UI"/>
        </w:rPr>
        <w:t xml:space="preserve"> </w:t>
      </w:r>
      <w:r w:rsidR="006C518A" w:rsidRPr="00944794">
        <w:rPr>
          <w:rFonts w:ascii="Segoe UI" w:hAnsi="Segoe UI" w:cs="Segoe UI"/>
        </w:rPr>
        <w:t xml:space="preserve">$360,000 in </w:t>
      </w:r>
      <w:r w:rsidRPr="00944794">
        <w:rPr>
          <w:rFonts w:ascii="Segoe UI" w:hAnsi="Segoe UI" w:cs="Segoe UI"/>
        </w:rPr>
        <w:t xml:space="preserve">grants </w:t>
      </w:r>
      <w:r w:rsidR="006C518A" w:rsidRPr="00944794">
        <w:rPr>
          <w:rFonts w:ascii="Segoe UI" w:hAnsi="Segoe UI" w:cs="Segoe UI"/>
        </w:rPr>
        <w:t xml:space="preserve">from several sources </w:t>
      </w:r>
      <w:r w:rsidRPr="00944794">
        <w:rPr>
          <w:rFonts w:ascii="Segoe UI" w:hAnsi="Segoe UI" w:cs="Segoe UI"/>
        </w:rPr>
        <w:t>to fund a pilot project</w:t>
      </w:r>
      <w:r w:rsidR="006C518A" w:rsidRPr="00944794">
        <w:rPr>
          <w:rFonts w:ascii="Segoe UI" w:hAnsi="Segoe UI" w:cs="Segoe UI"/>
        </w:rPr>
        <w:t>.</w:t>
      </w:r>
    </w:p>
    <w:p w:rsidR="0004519E" w:rsidRPr="007F25A3" w:rsidRDefault="0004519E" w:rsidP="00B638CE">
      <w:pPr>
        <w:rPr>
          <w:rFonts w:ascii="Segoe UI" w:hAnsi="Segoe UI" w:cs="Segoe UI"/>
        </w:rPr>
      </w:pPr>
    </w:p>
    <w:p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rsidR="00D671A0" w:rsidRPr="007F25A3" w:rsidRDefault="00D671A0" w:rsidP="00D671A0">
      <w:pPr>
        <w:pStyle w:val="Heading1"/>
        <w:rPr>
          <w:rFonts w:ascii="Segoe UI" w:hAnsi="Segoe UI" w:cs="Segoe UI"/>
        </w:rPr>
      </w:pPr>
      <w:bookmarkStart w:id="113" w:name="_Toc334007529"/>
      <w:r w:rsidRPr="007F25A3">
        <w:rPr>
          <w:rFonts w:ascii="Segoe UI" w:hAnsi="Segoe UI" w:cs="Segoe UI"/>
        </w:rPr>
        <w:t>V. Summary</w:t>
      </w:r>
      <w:bookmarkEnd w:id="113"/>
    </w:p>
    <w:p w:rsidR="006F76E6" w:rsidRPr="00844FE1" w:rsidRDefault="00D671A0" w:rsidP="00D671A0">
      <w:pPr>
        <w:pStyle w:val="NoSpacing"/>
        <w:rPr>
          <w:color w:val="FF0000"/>
        </w:rPr>
      </w:pPr>
      <w:r>
        <w:t xml:space="preserve">During the final implementation review, </w:t>
      </w:r>
      <w:r w:rsidR="006F76E6">
        <w:t xml:space="preserve">January </w:t>
      </w:r>
      <w:r>
        <w:t>s</w:t>
      </w:r>
      <w:r w:rsidRPr="007F25A3">
        <w:t>treamflows at the Zenith gage (</w:t>
      </w:r>
      <w:r w:rsidR="00002947">
        <w:fldChar w:fldCharType="begin"/>
      </w:r>
      <w:r w:rsidR="00002947">
        <w:instrText xml:space="preserve"> REF _Ref232904019 \h  \* MERGEFORMAT </w:instrText>
      </w:r>
      <w:r w:rsidR="00002947">
        <w:fldChar w:fldCharType="separate"/>
      </w:r>
      <w:r w:rsidR="00FC22DA" w:rsidRPr="00FC22DA">
        <w:t>Figure 4</w:t>
      </w:r>
      <w:r w:rsidR="00002947">
        <w:fldChar w:fldCharType="end"/>
      </w:r>
      <w:r w:rsidRPr="007F25A3">
        <w:t xml:space="preserve">) have been </w:t>
      </w:r>
      <w:r>
        <w:t>in</w:t>
      </w:r>
      <w:r w:rsidRPr="007F25A3">
        <w:t>sufficient to meet the goal of a 10-y</w:t>
      </w:r>
      <w:r w:rsidR="006F76E6">
        <w:t>ear rolling average of 25 cfs.</w:t>
      </w:r>
    </w:p>
    <w:p w:rsidR="006F76E6" w:rsidRDefault="006F76E6" w:rsidP="00D671A0">
      <w:pPr>
        <w:pStyle w:val="NoSpacing"/>
      </w:pPr>
    </w:p>
    <w:p w:rsidR="00D671A0" w:rsidRDefault="0083306C" w:rsidP="00D671A0">
      <w:pPr>
        <w:pStyle w:val="NoSpacing"/>
      </w:pPr>
      <w:r>
        <w:fldChar w:fldCharType="begin"/>
      </w:r>
      <w:r w:rsidR="00992323">
        <w:instrText xml:space="preserve"> REF _Ref323648803 \h </w:instrText>
      </w:r>
      <w:r>
        <w:fldChar w:fldCharType="separate"/>
      </w:r>
      <w:r w:rsidR="00FC22DA" w:rsidRPr="007F25A3">
        <w:rPr>
          <w:rFonts w:cs="Segoe UI"/>
        </w:rPr>
        <w:t xml:space="preserve">Figure </w:t>
      </w:r>
      <w:r w:rsidR="00FC22DA">
        <w:rPr>
          <w:rFonts w:cs="Segoe UI"/>
          <w:noProof/>
        </w:rPr>
        <w:t>17</w:t>
      </w:r>
      <w:r>
        <w:fldChar w:fldCharType="end"/>
      </w:r>
      <w:r w:rsidR="00992323">
        <w:t xml:space="preserve"> </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r w:rsidR="00D671A0">
        <w:t>In 2011, the subbasin had the second lowest precipitation total since 1974 and as a result streamflow declined</w:t>
      </w:r>
      <w:r w:rsidR="00AA3F7F">
        <w:t xml:space="preserve"> for that year</w:t>
      </w:r>
      <w:r w:rsidR="00D671A0">
        <w:t>.</w:t>
      </w:r>
    </w:p>
    <w:p w:rsidR="00D671A0" w:rsidRPr="00844FE1" w:rsidRDefault="00D671A0" w:rsidP="00D671A0">
      <w:pPr>
        <w:rPr>
          <w:rFonts w:ascii="Segoe UI" w:hAnsi="Segoe UI"/>
          <w:color w:val="FF0000"/>
        </w:rPr>
      </w:pPr>
    </w:p>
    <w:p w:rsidR="00D671A0" w:rsidRPr="007F25A3" w:rsidRDefault="00D671A0" w:rsidP="00D671A0">
      <w:pPr>
        <w:keepNext/>
        <w:jc w:val="center"/>
        <w:rPr>
          <w:rFonts w:ascii="Segoe UI" w:hAnsi="Segoe UI" w:cs="Segoe UI"/>
        </w:rPr>
      </w:pPr>
    </w:p>
    <w:p w:rsidR="00D671A0" w:rsidRPr="007F25A3" w:rsidRDefault="00CE2AD3" w:rsidP="00D671A0">
      <w:pPr>
        <w:keepNext/>
        <w:jc w:val="center"/>
        <w:rPr>
          <w:rFonts w:ascii="Segoe UI" w:hAnsi="Segoe UI" w:cs="Segoe UI"/>
        </w:rPr>
      </w:pPr>
      <w:r>
        <w:rPr>
          <w:noProof/>
        </w:rPr>
        <w:drawing>
          <wp:inline distT="0" distB="0" distL="0" distR="0" wp14:anchorId="4FA74BB9" wp14:editId="5CB63CC8">
            <wp:extent cx="6006662" cy="4776951"/>
            <wp:effectExtent l="0" t="0" r="13335" b="2413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71A0" w:rsidRPr="007F25A3" w:rsidRDefault="00D671A0" w:rsidP="008D4AC4">
      <w:pPr>
        <w:pStyle w:val="Caption"/>
        <w:rPr>
          <w:rFonts w:cs="Segoe UI"/>
        </w:rPr>
      </w:pPr>
      <w:bookmarkStart w:id="114" w:name="_Ref323648803"/>
      <w:bookmarkStart w:id="115" w:name="_Toc335721241"/>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17</w:t>
      </w:r>
      <w:r w:rsidRPr="007F25A3">
        <w:rPr>
          <w:rFonts w:cs="Segoe UI"/>
        </w:rPr>
        <w:fldChar w:fldCharType="end"/>
      </w:r>
      <w:bookmarkEnd w:id="114"/>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bookmarkEnd w:id="115"/>
    </w:p>
    <w:p w:rsidR="00D671A0" w:rsidRDefault="00D671A0" w:rsidP="00D671A0">
      <w:pPr>
        <w:rPr>
          <w:rFonts w:ascii="Segoe UI" w:hAnsi="Segoe UI" w:cs="Segoe UI"/>
        </w:rPr>
      </w:pPr>
    </w:p>
    <w:p w:rsidR="00D671A0" w:rsidRDefault="00D671A0" w:rsidP="00D671A0">
      <w:pPr>
        <w:pStyle w:val="NoSpacing"/>
      </w:pPr>
      <w:r>
        <w:t>The</w:t>
      </w:r>
      <w:r w:rsidR="00FC22DA">
        <w:rPr>
          <w:rFonts w:cs="Segoe UI"/>
        </w:rPr>
        <w:t xml:space="preserve"> </w:t>
      </w:r>
      <w:r w:rsidRPr="007F25A3">
        <w:rPr>
          <w:rFonts w:cs="Segoe UI"/>
        </w:rPr>
        <w:t>20</w:t>
      </w:r>
      <w:r>
        <w:rPr>
          <w:rFonts w:cs="Segoe UI"/>
        </w:rPr>
        <w:t>11</w:t>
      </w:r>
      <w:r>
        <w:t xml:space="preserve"> interpolated change in water level maps, </w:t>
      </w:r>
      <w:r>
        <w:fldChar w:fldCharType="begin"/>
      </w:r>
      <w:r>
        <w:instrText xml:space="preserve"> REF _Ref321290128 \h  \* MERGEFORMAT </w:instrText>
      </w:r>
      <w:r>
        <w:fldChar w:fldCharType="separate"/>
      </w:r>
      <w:r w:rsidR="00FC22DA" w:rsidRPr="00FC22DA">
        <w:t xml:space="preserve">Figure </w:t>
      </w:r>
      <w:r w:rsidR="00FC22DA" w:rsidRPr="00FC22DA">
        <w:rPr>
          <w:noProof/>
        </w:rPr>
        <w:t>9</w:t>
      </w:r>
      <w:r>
        <w:fldChar w:fldCharType="end"/>
      </w:r>
      <w:r>
        <w:t>, highlights the changes in water levels for the entire implementation period and also for each 4-year review.  During the final 4-year review, water levels declined throughout the subbasin and most of the subbasin had a lower water level in 2012 than in 2001.</w:t>
      </w:r>
    </w:p>
    <w:p w:rsidR="00D671A0" w:rsidRDefault="00D671A0" w:rsidP="00D671A0">
      <w:pPr>
        <w:rPr>
          <w:rFonts w:ascii="Segoe UI" w:hAnsi="Segoe UI" w:cs="Segoe UI"/>
        </w:rPr>
      </w:pPr>
    </w:p>
    <w:p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r w:rsidRPr="007F25A3">
        <w:rPr>
          <w:rFonts w:ascii="Segoe UI" w:hAnsi="Segoe UI" w:cs="Segoe UI"/>
        </w:rPr>
        <w:t xml:space="preserve">overpumping with the Blatant and Recurring Overpumping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xml:space="preserve">.  The Flex Account </w:t>
      </w:r>
      <w:r w:rsidRPr="007F25A3">
        <w:rPr>
          <w:rFonts w:ascii="Segoe UI" w:hAnsi="Segoe UI" w:cs="Segoe UI"/>
        </w:rPr>
        <w:lastRenderedPageBreak/>
        <w:t>Program continues to have no participation.</w:t>
      </w:r>
      <w:r w:rsidR="0040524B">
        <w:rPr>
          <w:rFonts w:ascii="Segoe UI" w:hAnsi="Segoe UI" w:cs="Segoe UI"/>
        </w:rPr>
        <w:t xml:space="preserve">  No action has been taken on the strategies involving augmentation, low head dams, and other altern</w:t>
      </w:r>
      <w:r w:rsidR="00FA422B">
        <w:rPr>
          <w:rFonts w:ascii="Segoe UI" w:hAnsi="Segoe UI" w:cs="Segoe UI"/>
        </w:rPr>
        <w:t>a</w:t>
      </w:r>
      <w:r w:rsidR="0040524B">
        <w:rPr>
          <w:rFonts w:ascii="Segoe UI" w:hAnsi="Segoe UI" w:cs="Segoe UI"/>
        </w:rPr>
        <w:t>tives.</w:t>
      </w:r>
    </w:p>
    <w:p w:rsidR="00D671A0" w:rsidRPr="007F25A3" w:rsidRDefault="00D671A0" w:rsidP="00D671A0">
      <w:pPr>
        <w:pStyle w:val="Caption"/>
        <w:rPr>
          <w:rFonts w:cs="Segoe UI"/>
        </w:rPr>
      </w:pPr>
    </w:p>
    <w:p w:rsidR="00D671A0" w:rsidRPr="007F25A3" w:rsidRDefault="00D671A0" w:rsidP="00D671A0">
      <w:pPr>
        <w:pStyle w:val="Caption"/>
        <w:rPr>
          <w:rFonts w:cs="Segoe UI"/>
        </w:rPr>
      </w:pPr>
      <w:bookmarkStart w:id="116" w:name="_Toc323648725"/>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3</w:t>
      </w:r>
      <w:r w:rsidRPr="007F25A3">
        <w:rPr>
          <w:rFonts w:cs="Segoe UI"/>
        </w:rPr>
        <w:fldChar w:fldCharType="end"/>
      </w:r>
      <w:r w:rsidRPr="007F25A3">
        <w:rPr>
          <w:rFonts w:cs="Segoe UI"/>
        </w:rPr>
        <w:t>: Summary of Estimated Water Conservation (*denotes short-term savings)</w:t>
      </w:r>
      <w:bookmarkEnd w:id="116"/>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rsidR="00D671A0" w:rsidRPr="007F25A3" w:rsidRDefault="00D671A0" w:rsidP="00D671A0">
            <w:pPr>
              <w:jc w:val="center"/>
              <w:rPr>
                <w:rFonts w:ascii="Segoe UI" w:hAnsi="Segoe UI" w:cs="Segoe UI"/>
                <w:b/>
                <w:bCs/>
                <w:sz w:val="18"/>
                <w:szCs w:val="18"/>
              </w:rPr>
            </w:pPr>
          </w:p>
        </w:tc>
      </w:tr>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sz w:val="18"/>
                <w:szCs w:val="18"/>
              </w:rPr>
            </w:pPr>
          </w:p>
        </w:tc>
        <w:tc>
          <w:tcPr>
            <w:tcW w:w="1202"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rsidTr="00D671A0">
        <w:trPr>
          <w:trHeight w:val="270"/>
          <w:jc w:val="center"/>
        </w:trPr>
        <w:tc>
          <w:tcPr>
            <w:tcW w:w="1886" w:type="dxa"/>
            <w:shd w:val="clear" w:color="auto" w:fill="auto"/>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Conservation/Irr. Management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rsidR="00D671A0" w:rsidRPr="007F25A3" w:rsidRDefault="00D671A0" w:rsidP="00D671A0">
            <w:pPr>
              <w:ind w:right="-108"/>
              <w:jc w:val="center"/>
              <w:rPr>
                <w:rFonts w:ascii="Segoe UI" w:hAnsi="Segoe UI" w:cs="Segoe UI"/>
                <w:sz w:val="18"/>
                <w:szCs w:val="18"/>
              </w:rPr>
            </w:pP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787691" w:rsidRPr="007F25A3" w:rsidRDefault="00D671A0" w:rsidP="00D671A0">
            <w:pPr>
              <w:ind w:right="-108"/>
              <w:jc w:val="center"/>
              <w:rPr>
                <w:rFonts w:ascii="Segoe UI" w:hAnsi="Segoe UI" w:cs="Segoe UI"/>
                <w:sz w:val="18"/>
                <w:szCs w:val="18"/>
              </w:rPr>
            </w:pPr>
            <w:r>
              <w:rPr>
                <w:rFonts w:ascii="Segoe UI" w:hAnsi="Segoe UI" w:cs="Segoe UI"/>
                <w:sz w:val="18"/>
                <w:szCs w:val="18"/>
              </w:rPr>
              <w:t>1,133</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787691"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GMD5 Water Right Purchases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bl>
    <w:p w:rsidR="00147669" w:rsidRDefault="00147669" w:rsidP="00D671A0">
      <w:pPr>
        <w:rPr>
          <w:rFonts w:ascii="Segoe UI" w:hAnsi="Segoe UI" w:cs="Segoe UI"/>
        </w:rPr>
      </w:pPr>
    </w:p>
    <w:p w:rsidR="00787691" w:rsidRDefault="00D671A0" w:rsidP="00D671A0">
      <w:pPr>
        <w:rPr>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230436" w:rsidRPr="00844FE1">
        <w:fldChar w:fldCharType="begin"/>
      </w:r>
      <w:r w:rsidR="00230436" w:rsidRPr="00844FE1">
        <w:instrText xml:space="preserve"> REF _Ref323648701 \h  \* MERGEFORMAT </w:instrText>
      </w:r>
      <w:r w:rsidR="00230436" w:rsidRPr="00844FE1">
        <w:fldChar w:fldCharType="separate"/>
      </w:r>
      <w:r w:rsidR="00FC22DA" w:rsidRPr="00FC22DA">
        <w:rPr>
          <w:rFonts w:ascii="Segoe UI" w:hAnsi="Segoe UI" w:cs="Segoe UI"/>
        </w:rPr>
        <w:t xml:space="preserve">Table </w:t>
      </w:r>
      <w:r w:rsidR="00FC22DA" w:rsidRPr="00FC22DA">
        <w:rPr>
          <w:rFonts w:ascii="Segoe UI" w:hAnsi="Segoe UI" w:cs="Segoe UI"/>
          <w:noProof/>
        </w:rPr>
        <w:t>4</w:t>
      </w:r>
      <w:r w:rsidR="00230436" w:rsidRPr="00844FE1">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r w:rsidR="00787691">
        <w:rPr>
          <w:rFonts w:ascii="Segoe UI" w:hAnsi="Segoe UI" w:cs="Segoe UI"/>
        </w:rPr>
        <w:t>.</w:t>
      </w:r>
    </w:p>
    <w:p w:rsidR="00D671A0" w:rsidRPr="007F25A3" w:rsidRDefault="00D671A0" w:rsidP="00D671A0">
      <w:pPr>
        <w:rPr>
          <w:rFonts w:ascii="Segoe UI" w:hAnsi="Segoe UI" w:cs="Segoe UI"/>
        </w:rPr>
      </w:pPr>
    </w:p>
    <w:p w:rsidR="00D671A0" w:rsidRDefault="00D671A0" w:rsidP="00D671A0">
      <w:pPr>
        <w:rPr>
          <w:rFonts w:ascii="Segoe UI" w:hAnsi="Segoe UI" w:cs="Segoe UI"/>
        </w:rPr>
        <w:sectPr w:rsidR="00D671A0" w:rsidSect="00AA5F66">
          <w:headerReference w:type="default" r:id="rId29"/>
          <w:footerReference w:type="even" r:id="rId30"/>
          <w:footerReference w:type="default" r:id="rId31"/>
          <w:pgSz w:w="12240" w:h="15840"/>
          <w:pgMar w:top="1440" w:right="1440" w:bottom="1440" w:left="1440" w:header="720" w:footer="720" w:gutter="0"/>
          <w:cols w:space="720"/>
          <w:docGrid w:linePitch="360"/>
        </w:sectPr>
      </w:pPr>
    </w:p>
    <w:p w:rsidR="00D671A0" w:rsidRPr="007F25A3" w:rsidRDefault="00D671A0" w:rsidP="00D671A0">
      <w:pPr>
        <w:pStyle w:val="Caption"/>
        <w:rPr>
          <w:rFonts w:cs="Segoe UI"/>
        </w:rPr>
      </w:pPr>
      <w:bookmarkStart w:id="117" w:name="_Ref323648701"/>
      <w:bookmarkStart w:id="118" w:name="_Toc323648726"/>
      <w:r w:rsidRPr="007F25A3">
        <w:rPr>
          <w:rFonts w:cs="Segoe UI"/>
        </w:rPr>
        <w:lastRenderedPageBreak/>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4</w:t>
      </w:r>
      <w:r w:rsidRPr="007F25A3">
        <w:rPr>
          <w:rFonts w:cs="Segoe UI"/>
        </w:rPr>
        <w:fldChar w:fldCharType="end"/>
      </w:r>
      <w:bookmarkEnd w:id="117"/>
      <w:r w:rsidRPr="007F25A3">
        <w:rPr>
          <w:rFonts w:cs="Segoe UI"/>
        </w:rPr>
        <w:t>: Summary of Progress</w:t>
      </w:r>
      <w:bookmarkEnd w:id="118"/>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CE2AD3">
            <w:pPr>
              <w:jc w:val="center"/>
              <w:rPr>
                <w:rFonts w:ascii="Segoe UI" w:hAnsi="Segoe UI" w:cs="Segoe UI"/>
                <w:color w:val="006100"/>
                <w:sz w:val="18"/>
                <w:szCs w:val="18"/>
              </w:rPr>
            </w:pPr>
            <w:r>
              <w:rPr>
                <w:rFonts w:ascii="Segoe UI" w:hAnsi="Segoe UI" w:cs="Segoe UI"/>
                <w:color w:val="006100"/>
                <w:sz w:val="18"/>
                <w:szCs w:val="18"/>
              </w:rPr>
              <w:t>90,93</w:t>
            </w:r>
            <w:r w:rsidR="002D6FF2">
              <w:rPr>
                <w:rFonts w:ascii="Segoe UI" w:hAnsi="Segoe UI" w:cs="Segoe UI"/>
                <w:color w:val="006100"/>
                <w:sz w:val="18"/>
                <w:szCs w:val="18"/>
              </w:rPr>
              <w:t>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D6FF2">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w:t>
            </w:r>
            <w:r w:rsidR="002D6FF2">
              <w:rPr>
                <w:rFonts w:ascii="Segoe UI" w:hAnsi="Segoe UI" w:cs="Segoe UI"/>
                <w:color w:val="006100"/>
                <w:sz w:val="18"/>
                <w:szCs w:val="18"/>
              </w:rPr>
              <w:t>62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D6FF2">
            <w:pPr>
              <w:jc w:val="center"/>
              <w:rPr>
                <w:rFonts w:ascii="Segoe UI" w:hAnsi="Segoe UI" w:cs="Segoe UI"/>
                <w:color w:val="006100"/>
                <w:sz w:val="18"/>
                <w:szCs w:val="18"/>
              </w:rPr>
            </w:pPr>
            <w:r w:rsidRPr="00321067">
              <w:rPr>
                <w:rFonts w:ascii="Segoe UI" w:hAnsi="Segoe UI" w:cs="Segoe UI"/>
                <w:color w:val="006100"/>
                <w:sz w:val="18"/>
                <w:szCs w:val="18"/>
              </w:rPr>
              <w:t>100,</w:t>
            </w:r>
            <w:r w:rsidR="002D6FF2">
              <w:rPr>
                <w:rFonts w:ascii="Segoe UI" w:hAnsi="Segoe UI" w:cs="Segoe UI"/>
                <w:color w:val="006100"/>
                <w:sz w:val="18"/>
                <w:szCs w:val="18"/>
              </w:rPr>
              <w:t>109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Pr>
                <w:rFonts w:ascii="Segoe UI" w:hAnsi="Segoe UI" w:cs="Segoe UI"/>
                <w:color w:val="006100"/>
                <w:sz w:val="18"/>
                <w:szCs w:val="18"/>
              </w:rPr>
              <w:t>97</w:t>
            </w:r>
            <w:r w:rsidR="002D6FF2">
              <w:rPr>
                <w:rFonts w:ascii="Segoe UI" w:hAnsi="Segoe UI" w:cs="Segoe UI"/>
                <w:color w:val="006100"/>
                <w:sz w:val="18"/>
                <w:szCs w:val="18"/>
              </w:rPr>
              <w:t>,906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2D6FF2" w:rsidP="00252C71">
            <w:pPr>
              <w:jc w:val="center"/>
              <w:rPr>
                <w:rFonts w:ascii="Segoe UI" w:hAnsi="Segoe UI" w:cs="Segoe UI"/>
                <w:color w:val="006100"/>
                <w:sz w:val="18"/>
                <w:szCs w:val="18"/>
              </w:rPr>
            </w:pPr>
            <w:r>
              <w:rPr>
                <w:rFonts w:ascii="Segoe UI" w:hAnsi="Segoe UI" w:cs="Segoe UI"/>
                <w:color w:val="006100"/>
                <w:sz w:val="18"/>
                <w:szCs w:val="18"/>
              </w:rPr>
              <w:t>98,272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sidR="002D6FF2">
              <w:rPr>
                <w:rFonts w:ascii="Segoe UI" w:hAnsi="Segoe UI" w:cs="Segoe UI"/>
                <w:color w:val="006100"/>
                <w:sz w:val="18"/>
                <w:szCs w:val="18"/>
              </w:rPr>
              <w:t>2,099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sidR="002D6FF2">
              <w:rPr>
                <w:rFonts w:ascii="Segoe UI" w:hAnsi="Segoe UI" w:cs="Segoe UI"/>
                <w:color w:val="006100"/>
                <w:sz w:val="18"/>
                <w:szCs w:val="18"/>
              </w:rPr>
              <w:t>653</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w:t>
            </w:r>
            <w:r w:rsidR="00E96AEB">
              <w:rPr>
                <w:rFonts w:ascii="Segoe UI" w:hAnsi="Segoe UI" w:cs="Segoe UI"/>
                <w:color w:val="006100"/>
                <w:sz w:val="18"/>
                <w:szCs w:val="18"/>
              </w:rPr>
              <w:t>2,085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w:t>
            </w:r>
            <w:r w:rsidR="00E96AEB">
              <w:rPr>
                <w:rFonts w:ascii="Segoe UI" w:hAnsi="Segoe UI" w:cs="Segoe UI"/>
                <w:color w:val="006100"/>
                <w:sz w:val="18"/>
                <w:szCs w:val="18"/>
              </w:rPr>
              <w:t>635</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100,</w:t>
            </w:r>
            <w:r w:rsidR="00E96AEB">
              <w:rPr>
                <w:rFonts w:ascii="Segoe UI" w:hAnsi="Segoe UI" w:cs="Segoe UI"/>
                <w:color w:val="006100"/>
                <w:sz w:val="18"/>
                <w:szCs w:val="18"/>
              </w:rPr>
              <w:t>750</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102,</w:t>
            </w:r>
            <w:r w:rsidR="00E96AEB">
              <w:rPr>
                <w:rFonts w:ascii="Segoe UI" w:hAnsi="Segoe UI" w:cs="Segoe UI"/>
                <w:color w:val="006100"/>
                <w:sz w:val="18"/>
                <w:szCs w:val="18"/>
              </w:rPr>
              <w:t>447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E96AEB">
            <w:pPr>
              <w:jc w:val="center"/>
              <w:rPr>
                <w:rFonts w:ascii="Segoe UI" w:hAnsi="Segoe UI" w:cs="Segoe UI"/>
                <w:sz w:val="18"/>
                <w:szCs w:val="18"/>
              </w:rPr>
            </w:pPr>
            <w:r>
              <w:rPr>
                <w:rFonts w:ascii="Segoe UI" w:hAnsi="Segoe UI" w:cs="Segoe UI"/>
                <w:sz w:val="18"/>
                <w:szCs w:val="18"/>
              </w:rPr>
              <w:t>11</w:t>
            </w:r>
            <w:r w:rsidR="00E96AEB">
              <w:rPr>
                <w:rFonts w:ascii="Segoe UI" w:hAnsi="Segoe UI" w:cs="Segoe UI"/>
                <w:sz w:val="18"/>
                <w:szCs w:val="18"/>
              </w:rPr>
              <w:t>5</w:t>
            </w:r>
            <w:r>
              <w:rPr>
                <w:rFonts w:ascii="Segoe UI" w:hAnsi="Segoe UI" w:cs="Segoe UI"/>
                <w:sz w:val="18"/>
                <w:szCs w:val="18"/>
              </w:rPr>
              <w:t>,</w:t>
            </w:r>
            <w:r w:rsidR="00E96AEB">
              <w:rPr>
                <w:rFonts w:ascii="Segoe UI" w:hAnsi="Segoe UI" w:cs="Segoe UI"/>
                <w:sz w:val="18"/>
                <w:szCs w:val="18"/>
              </w:rPr>
              <w:t>445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sidR="00E96AEB">
              <w:rPr>
                <w:rFonts w:ascii="Segoe UI" w:hAnsi="Segoe UI" w:cs="Segoe UI"/>
                <w:sz w:val="18"/>
                <w:szCs w:val="18"/>
              </w:rPr>
              <w:t>620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sidR="00E96AEB">
              <w:rPr>
                <w:rFonts w:ascii="Segoe UI" w:hAnsi="Segoe UI" w:cs="Segoe UI"/>
                <w:sz w:val="18"/>
                <w:szCs w:val="18"/>
              </w:rPr>
              <w:t>292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E96AEB" w:rsidP="00E96AEB">
            <w:pPr>
              <w:jc w:val="center"/>
              <w:rPr>
                <w:rFonts w:ascii="Segoe UI" w:hAnsi="Segoe UI" w:cs="Segoe UI"/>
                <w:sz w:val="18"/>
                <w:szCs w:val="18"/>
              </w:rPr>
            </w:pPr>
            <w:r>
              <w:rPr>
                <w:rFonts w:ascii="Segoe UI" w:hAnsi="Segoe UI" w:cs="Segoe UI"/>
                <w:sz w:val="18"/>
                <w:szCs w:val="18"/>
              </w:rPr>
              <w:t>132</w:t>
            </w:r>
            <w:r w:rsidR="007742DD">
              <w:rPr>
                <w:rFonts w:ascii="Segoe UI" w:hAnsi="Segoe UI" w:cs="Segoe UI"/>
                <w:sz w:val="18"/>
                <w:szCs w:val="18"/>
              </w:rPr>
              <w:t>,</w:t>
            </w:r>
            <w:r>
              <w:rPr>
                <w:rFonts w:ascii="Segoe UI" w:hAnsi="Segoe UI" w:cs="Segoe UI"/>
                <w:sz w:val="18"/>
                <w:szCs w:val="18"/>
              </w:rPr>
              <w:t>418</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sz w:val="18"/>
                <w:szCs w:val="18"/>
              </w:rPr>
            </w:pP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w:t>
            </w:r>
            <w:r w:rsidR="007A37BC">
              <w:rPr>
                <w:rFonts w:ascii="Segoe UI" w:hAnsi="Segoe UI" w:cs="Segoe UI"/>
                <w:color w:val="006100"/>
                <w:sz w:val="18"/>
                <w:szCs w:val="18"/>
              </w:rPr>
              <w:t>831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31,</w:t>
            </w:r>
            <w:r w:rsidR="007A37BC">
              <w:rPr>
                <w:rFonts w:ascii="Segoe UI" w:hAnsi="Segoe UI" w:cs="Segoe UI"/>
                <w:color w:val="006100"/>
                <w:sz w:val="18"/>
                <w:szCs w:val="18"/>
              </w:rPr>
              <w:t>987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7A37BC">
            <w:pPr>
              <w:jc w:val="center"/>
              <w:rPr>
                <w:rFonts w:ascii="Segoe UI" w:hAnsi="Segoe UI" w:cs="Segoe UI"/>
                <w:sz w:val="18"/>
                <w:szCs w:val="18"/>
              </w:rPr>
            </w:pPr>
            <w:r>
              <w:rPr>
                <w:rFonts w:ascii="Segoe UI" w:hAnsi="Segoe UI" w:cs="Segoe UI"/>
                <w:sz w:val="18"/>
                <w:szCs w:val="18"/>
              </w:rPr>
              <w:t>33,0</w:t>
            </w:r>
            <w:r w:rsidR="007A37BC">
              <w:rPr>
                <w:rFonts w:ascii="Segoe UI" w:hAnsi="Segoe UI" w:cs="Segoe UI"/>
                <w:sz w:val="18"/>
                <w:szCs w:val="18"/>
              </w:rPr>
              <w:t>94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7A37BC">
            <w:pPr>
              <w:jc w:val="center"/>
              <w:rPr>
                <w:rFonts w:ascii="Segoe UI" w:hAnsi="Segoe UI" w:cs="Segoe UI"/>
                <w:sz w:val="18"/>
                <w:szCs w:val="18"/>
              </w:rPr>
            </w:pPr>
            <w:r>
              <w:rPr>
                <w:rFonts w:ascii="Segoe UI" w:hAnsi="Segoe UI" w:cs="Segoe UI"/>
                <w:sz w:val="18"/>
                <w:szCs w:val="18"/>
              </w:rPr>
              <w:t>4</w:t>
            </w:r>
            <w:r w:rsidR="007A37BC">
              <w:rPr>
                <w:rFonts w:ascii="Segoe UI" w:hAnsi="Segoe UI" w:cs="Segoe UI"/>
                <w:sz w:val="18"/>
                <w:szCs w:val="18"/>
              </w:rPr>
              <w:t>3</w:t>
            </w:r>
            <w:r>
              <w:rPr>
                <w:rFonts w:ascii="Segoe UI" w:hAnsi="Segoe UI" w:cs="Segoe UI"/>
                <w:sz w:val="18"/>
                <w:szCs w:val="18"/>
              </w:rPr>
              <w:t>,</w:t>
            </w:r>
            <w:r w:rsidR="007A37BC">
              <w:rPr>
                <w:rFonts w:ascii="Segoe UI" w:hAnsi="Segoe UI" w:cs="Segoe UI"/>
                <w:sz w:val="18"/>
                <w:szCs w:val="18"/>
              </w:rPr>
              <w:t>957</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w:t>
            </w:r>
            <w:r w:rsidR="007A37BC">
              <w:rPr>
                <w:rFonts w:ascii="Segoe UI" w:hAnsi="Segoe UI" w:cs="Segoe UI"/>
                <w:color w:val="006100"/>
                <w:sz w:val="18"/>
                <w:szCs w:val="18"/>
              </w:rPr>
              <w:t>31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w:t>
            </w:r>
            <w:r w:rsidR="007A37BC">
              <w:rPr>
                <w:rFonts w:ascii="Segoe UI" w:hAnsi="Segoe UI" w:cs="Segoe UI"/>
                <w:color w:val="006100"/>
                <w:sz w:val="18"/>
                <w:szCs w:val="18"/>
              </w:rPr>
              <w:t>48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w:t>
            </w:r>
            <w:r w:rsidR="007A37BC">
              <w:rPr>
                <w:rFonts w:ascii="Segoe UI" w:hAnsi="Segoe UI" w:cs="Segoe UI"/>
                <w:color w:val="006100"/>
                <w:sz w:val="18"/>
                <w:szCs w:val="18"/>
              </w:rPr>
              <w:t>44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w:t>
            </w:r>
            <w:r w:rsidR="007A37BC">
              <w:rPr>
                <w:rFonts w:ascii="Segoe UI" w:hAnsi="Segoe UI" w:cs="Segoe UI"/>
                <w:color w:val="006100"/>
                <w:sz w:val="18"/>
                <w:szCs w:val="18"/>
              </w:rPr>
              <w:t>34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w:t>
            </w:r>
            <w:r w:rsidR="007A37BC">
              <w:rPr>
                <w:rFonts w:ascii="Segoe UI" w:hAnsi="Segoe UI" w:cs="Segoe UI"/>
                <w:color w:val="006100"/>
                <w:sz w:val="18"/>
                <w:szCs w:val="18"/>
              </w:rPr>
              <w:t>83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w:t>
            </w:r>
            <w:r w:rsidR="007A37BC">
              <w:rPr>
                <w:rFonts w:ascii="Segoe UI" w:hAnsi="Segoe UI" w:cs="Segoe UI"/>
                <w:color w:val="006100"/>
                <w:sz w:val="18"/>
                <w:szCs w:val="18"/>
              </w:rPr>
              <w:t>24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w:t>
            </w:r>
            <w:r w:rsidR="007A37BC">
              <w:rPr>
                <w:rFonts w:ascii="Segoe UI" w:hAnsi="Segoe UI" w:cs="Segoe UI"/>
                <w:color w:val="006100"/>
                <w:sz w:val="18"/>
                <w:szCs w:val="18"/>
              </w:rPr>
              <w:t>73</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53,5</w:t>
            </w:r>
            <w:r w:rsidR="007A37BC">
              <w:rPr>
                <w:rFonts w:ascii="Segoe UI" w:hAnsi="Segoe UI" w:cs="Segoe UI"/>
                <w:color w:val="006100"/>
                <w:sz w:val="18"/>
                <w:szCs w:val="18"/>
              </w:rPr>
              <w:t>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53,3</w:t>
            </w:r>
            <w:r w:rsidR="007A37BC">
              <w:rPr>
                <w:rFonts w:ascii="Segoe UI" w:hAnsi="Segoe UI" w:cs="Segoe UI"/>
                <w:color w:val="006100"/>
                <w:sz w:val="18"/>
                <w:szCs w:val="18"/>
              </w:rPr>
              <w:t>88</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53,7</w:t>
            </w:r>
            <w:r w:rsidR="007A37BC">
              <w:rPr>
                <w:rFonts w:ascii="Segoe UI" w:hAnsi="Segoe UI" w:cs="Segoe UI"/>
                <w:color w:val="006100"/>
                <w:sz w:val="18"/>
                <w:szCs w:val="18"/>
              </w:rPr>
              <w:t>36</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7A37BC">
            <w:pPr>
              <w:jc w:val="center"/>
              <w:rPr>
                <w:rFonts w:ascii="Segoe UI" w:hAnsi="Segoe UI" w:cs="Segoe UI"/>
                <w:color w:val="006100"/>
                <w:sz w:val="18"/>
                <w:szCs w:val="18"/>
              </w:rPr>
            </w:pPr>
            <w:r>
              <w:rPr>
                <w:rFonts w:ascii="Segoe UI" w:hAnsi="Segoe UI" w:cs="Segoe UI"/>
                <w:color w:val="006100"/>
                <w:sz w:val="18"/>
                <w:szCs w:val="18"/>
              </w:rPr>
              <w:t>54,</w:t>
            </w:r>
            <w:r w:rsidR="007A37BC">
              <w:rPr>
                <w:rFonts w:ascii="Segoe UI" w:hAnsi="Segoe UI" w:cs="Segoe UI"/>
                <w:color w:val="006100"/>
                <w:sz w:val="18"/>
                <w:szCs w:val="18"/>
              </w:rPr>
              <w:t>985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A37BC">
            <w:pPr>
              <w:jc w:val="center"/>
              <w:rPr>
                <w:rFonts w:ascii="Segoe UI" w:hAnsi="Segoe UI" w:cs="Segoe UI"/>
                <w:sz w:val="18"/>
                <w:szCs w:val="18"/>
              </w:rPr>
            </w:pPr>
            <w:r w:rsidRPr="00321067">
              <w:rPr>
                <w:rFonts w:ascii="Segoe UI" w:hAnsi="Segoe UI" w:cs="Segoe UI"/>
                <w:sz w:val="18"/>
                <w:szCs w:val="18"/>
              </w:rPr>
              <w:t>61,</w:t>
            </w:r>
            <w:r w:rsidR="007A37BC">
              <w:rPr>
                <w:rFonts w:ascii="Segoe UI" w:hAnsi="Segoe UI" w:cs="Segoe UI"/>
                <w:sz w:val="18"/>
                <w:szCs w:val="18"/>
              </w:rPr>
              <w:t>681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A37BC" w:rsidP="00D671A0">
            <w:pPr>
              <w:jc w:val="center"/>
              <w:rPr>
                <w:rFonts w:ascii="Segoe UI" w:hAnsi="Segoe UI" w:cs="Segoe UI"/>
                <w:sz w:val="18"/>
                <w:szCs w:val="18"/>
              </w:rPr>
            </w:pPr>
            <w:r>
              <w:rPr>
                <w:rFonts w:ascii="Segoe UI" w:hAnsi="Segoe UI" w:cs="Segoe UI"/>
                <w:sz w:val="18"/>
                <w:szCs w:val="18"/>
              </w:rPr>
              <w:t>49,339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A37BC" w:rsidP="00D671A0">
            <w:pPr>
              <w:jc w:val="center"/>
              <w:rPr>
                <w:rFonts w:ascii="Segoe UI" w:hAnsi="Segoe UI" w:cs="Segoe UI"/>
                <w:sz w:val="18"/>
                <w:szCs w:val="18"/>
              </w:rPr>
            </w:pPr>
            <w:r>
              <w:rPr>
                <w:rFonts w:ascii="Segoe UI" w:hAnsi="Segoe UI" w:cs="Segoe UI"/>
                <w:sz w:val="18"/>
                <w:szCs w:val="18"/>
              </w:rPr>
              <w:t>74,175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rsidR="00D671A0" w:rsidRDefault="00D671A0" w:rsidP="00D671A0">
      <w:pPr>
        <w:tabs>
          <w:tab w:val="left" w:pos="8085"/>
        </w:tabs>
        <w:rPr>
          <w:rFonts w:ascii="Segoe UI" w:hAnsi="Segoe UI" w:cs="Segoe UI"/>
        </w:rPr>
        <w:sectPr w:rsidR="00D671A0" w:rsidSect="00D671A0">
          <w:headerReference w:type="even" r:id="rId32"/>
          <w:headerReference w:type="default" r:id="rId33"/>
          <w:footerReference w:type="even" r:id="rId34"/>
          <w:footerReference w:type="default" r:id="rId35"/>
          <w:headerReference w:type="first" r:id="rId36"/>
          <w:footerReference w:type="first" r:id="rId37"/>
          <w:pgSz w:w="15840" w:h="12240" w:orient="landscape"/>
          <w:pgMar w:top="1350" w:right="1440" w:bottom="900" w:left="1440" w:header="720" w:footer="720" w:gutter="0"/>
          <w:cols w:space="720"/>
          <w:docGrid w:linePitch="360"/>
        </w:sectPr>
      </w:pPr>
    </w:p>
    <w:p w:rsidR="005A3FDC" w:rsidRPr="007F25A3" w:rsidRDefault="0004519E" w:rsidP="0004519E">
      <w:pPr>
        <w:pStyle w:val="Heading1"/>
        <w:rPr>
          <w:rFonts w:ascii="Segoe UI" w:hAnsi="Segoe UI" w:cs="Segoe UI"/>
        </w:rPr>
      </w:pPr>
      <w:bookmarkStart w:id="119" w:name="_Toc334007530"/>
      <w:bookmarkStart w:id="120" w:name="_Toc213563404"/>
      <w:r w:rsidRPr="007F25A3">
        <w:rPr>
          <w:rFonts w:ascii="Segoe UI" w:hAnsi="Segoe UI" w:cs="Segoe UI"/>
        </w:rPr>
        <w:lastRenderedPageBreak/>
        <w:t>V</w:t>
      </w:r>
      <w:r w:rsidR="008F7E7C">
        <w:rPr>
          <w:rFonts w:ascii="Segoe UI" w:hAnsi="Segoe UI" w:cs="Segoe UI"/>
        </w:rPr>
        <w:t>I</w:t>
      </w:r>
      <w:r w:rsidRPr="007F25A3">
        <w:rPr>
          <w:rFonts w:ascii="Segoe UI" w:hAnsi="Segoe UI" w:cs="Segoe UI"/>
        </w:rPr>
        <w:t xml:space="preserve">. </w:t>
      </w:r>
      <w:r w:rsidR="00DE0F95">
        <w:rPr>
          <w:rFonts w:ascii="Segoe UI" w:hAnsi="Segoe UI" w:cs="Segoe UI"/>
        </w:rPr>
        <w:t>Rattlesnake Creek Partner Position Papers</w:t>
      </w:r>
      <w:bookmarkEnd w:id="119"/>
      <w:r w:rsidRPr="007F25A3">
        <w:rPr>
          <w:rFonts w:ascii="Segoe UI" w:hAnsi="Segoe UI" w:cs="Segoe UI"/>
        </w:rPr>
        <w:t xml:space="preserve"> </w:t>
      </w:r>
    </w:p>
    <w:bookmarkEnd w:id="120"/>
    <w:p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rsidR="00E30D38" w:rsidRDefault="00E30D38" w:rsidP="00F0054E">
      <w:pPr>
        <w:jc w:val="center"/>
        <w:rPr>
          <w:rFonts w:ascii="Segoe UI" w:hAnsi="Segoe UI" w:cs="Segoe UI"/>
          <w:b/>
        </w:rPr>
      </w:pPr>
    </w:p>
    <w:p w:rsidR="00774435" w:rsidRDefault="006B5727">
      <w:pPr>
        <w:rPr>
          <w:rFonts w:ascii="Segoe UI" w:hAnsi="Segoe UI" w:cs="Segoe UI"/>
          <w:b/>
        </w:rPr>
      </w:pPr>
      <w:r>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8" o:title=""/>
          </v:shape>
          <o:OLEObject Type="Embed" ProgID="AcroExch.Document.7" ShapeID="_x0000_i1025" DrawAspect="Content" ObjectID="_1409463075" r:id="rId39"/>
        </w:object>
      </w:r>
    </w:p>
    <w:p w:rsidR="00774435" w:rsidRDefault="00774435">
      <w:pPr>
        <w:rPr>
          <w:rFonts w:ascii="Segoe UI" w:hAnsi="Segoe UI" w:cs="Segoe UI"/>
          <w:b/>
        </w:rPr>
      </w:pPr>
      <w:r>
        <w:rPr>
          <w:rFonts w:ascii="Segoe UI" w:hAnsi="Segoe UI" w:cs="Segoe UI"/>
          <w:b/>
        </w:rPr>
        <w:br w:type="page"/>
      </w:r>
    </w:p>
    <w:p w:rsidR="00F82A86" w:rsidRDefault="00EE3AE1" w:rsidP="00A25334">
      <w:pPr>
        <w:jc w:val="center"/>
        <w:rPr>
          <w:rFonts w:ascii="Segoe UI" w:hAnsi="Segoe UI" w:cs="Segoe UI"/>
          <w:b/>
        </w:rPr>
      </w:pPr>
      <w:r>
        <w:rPr>
          <w:rFonts w:ascii="Segoe UI" w:hAnsi="Segoe UI" w:cs="Segoe UI"/>
          <w:b/>
          <w:noProof/>
        </w:rPr>
        <w:lastRenderedPageBreak/>
        <w:drawing>
          <wp:inline distT="0" distB="0" distL="0" distR="0" wp14:anchorId="66744134" wp14:editId="14F66480">
            <wp:extent cx="6181725" cy="7962900"/>
            <wp:effectExtent l="0" t="0" r="9525" b="0"/>
            <wp:docPr id="55" name="Picture 55" descr="7571_2012-0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71_2012-04-23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1725" cy="7962900"/>
                    </a:xfrm>
                    <a:prstGeom prst="rect">
                      <a:avLst/>
                    </a:prstGeom>
                    <a:noFill/>
                    <a:ln>
                      <a:noFill/>
                    </a:ln>
                  </pic:spPr>
                </pic:pic>
              </a:graphicData>
            </a:graphic>
          </wp:inline>
        </w:drawing>
      </w:r>
    </w:p>
    <w:p w:rsidR="00F82A86" w:rsidRDefault="00F82A86" w:rsidP="00A25334">
      <w:pPr>
        <w:jc w:val="center"/>
        <w:rPr>
          <w:rFonts w:ascii="Segoe UI" w:hAnsi="Segoe UI" w:cs="Segoe UI"/>
          <w:b/>
        </w:rPr>
      </w:pPr>
      <w:r>
        <w:rPr>
          <w:rFonts w:ascii="Segoe UI" w:hAnsi="Segoe UI" w:cs="Segoe UI"/>
          <w:b/>
        </w:rPr>
        <w:br w:type="page"/>
      </w:r>
      <w:r w:rsidR="00EE3AE1">
        <w:rPr>
          <w:rFonts w:ascii="Segoe UI" w:hAnsi="Segoe UI" w:cs="Segoe UI"/>
          <w:b/>
          <w:noProof/>
        </w:rPr>
        <w:lastRenderedPageBreak/>
        <w:drawing>
          <wp:inline distT="0" distB="0" distL="0" distR="0" wp14:anchorId="4B7A3899" wp14:editId="2ADA24F8">
            <wp:extent cx="6257925" cy="8067675"/>
            <wp:effectExtent l="0" t="0" r="9525" b="9525"/>
            <wp:docPr id="56" name="Picture 56" descr="7571_2012-04-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71_2012-04-23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7925" cy="8067675"/>
                    </a:xfrm>
                    <a:prstGeom prst="rect">
                      <a:avLst/>
                    </a:prstGeom>
                    <a:noFill/>
                    <a:ln>
                      <a:noFill/>
                    </a:ln>
                  </pic:spPr>
                </pic:pic>
              </a:graphicData>
            </a:graphic>
          </wp:inline>
        </w:drawing>
      </w:r>
    </w:p>
    <w:p w:rsidR="00B73CFF" w:rsidRDefault="00F82A86" w:rsidP="0047205D">
      <w:pPr>
        <w:rPr>
          <w:color w:val="355E91"/>
          <w:sz w:val="28"/>
          <w:szCs w:val="28"/>
        </w:rPr>
      </w:pPr>
      <w:r>
        <w:rPr>
          <w:rFonts w:ascii="Segoe UI" w:hAnsi="Segoe UI" w:cs="Segoe UI"/>
          <w:b/>
        </w:rPr>
        <w:br w:type="page"/>
      </w:r>
      <w:r w:rsidR="00B73CFF">
        <w:rPr>
          <w:b/>
          <w:bCs/>
          <w:color w:val="355E91"/>
          <w:sz w:val="28"/>
          <w:szCs w:val="28"/>
        </w:rPr>
        <w:lastRenderedPageBreak/>
        <w:t xml:space="preserve">US Fish and Wildlife Service (USFWS) – </w:t>
      </w:r>
    </w:p>
    <w:p w:rsidR="00B73CFF" w:rsidRDefault="00B73CFF" w:rsidP="00B73CFF">
      <w:pPr>
        <w:pStyle w:val="CM1"/>
        <w:rPr>
          <w:rFonts w:cs="Cambria"/>
          <w:color w:val="4E82BC"/>
          <w:sz w:val="22"/>
          <w:szCs w:val="22"/>
        </w:rPr>
      </w:pPr>
      <w:r>
        <w:rPr>
          <w:rFonts w:cs="Cambria"/>
          <w:b/>
          <w:bCs/>
          <w:i/>
          <w:iCs/>
          <w:color w:val="4E82BC"/>
          <w:sz w:val="22"/>
          <w:szCs w:val="22"/>
        </w:rPr>
        <w:t xml:space="preserve">USFWS Perspective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The USFWS is interested in the protection of water quantity and quality that is required to meet legal responsibilities. Quivira National Wildlife Refuge (Refuge) was established primarily to conserve habitat for spring and fall migrating and wintering birds in the Central Flyway, but also to support nesting and resident wildlife and their associated environments. A complex system allows management of over thirty wetlands that are designated important or critical habitat for hundreds of thousands of waterfowl and shorebirds, and many federal and state threatened and endangered species. The availability of water resources is important year‐round on the Refuge to provide food and cover requirements for different wildlife and life cycle events. It is necessary to vary water management prescriptions on the Refuge within and among years generally to maintain productive wetlands and due to changing weather patterns. Despite having a senior water right, water is not always available for use when the Refuge needs it to manage habitat for wildlife, particularly in late summer when pumping for croplands is still occurring within the Rattlesnake Creek Subbasin. </w:t>
      </w:r>
    </w:p>
    <w:p w:rsidR="00B73CFF" w:rsidRDefault="00B73CFF" w:rsidP="00B73CFF">
      <w:pPr>
        <w:pStyle w:val="CM1"/>
        <w:rPr>
          <w:rFonts w:cs="Cambria"/>
          <w:color w:val="4E82BC"/>
          <w:sz w:val="22"/>
          <w:szCs w:val="22"/>
        </w:rPr>
      </w:pPr>
      <w:r>
        <w:rPr>
          <w:rFonts w:cs="Cambria"/>
          <w:b/>
          <w:bCs/>
          <w:i/>
          <w:iCs/>
          <w:color w:val="4E82BC"/>
          <w:sz w:val="22"/>
          <w:szCs w:val="22"/>
        </w:rPr>
        <w:t xml:space="preserve">Water Use and Water Management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Many studies and models describe the water resource system in the Great Bend region of south central Kansas and areas within Groundwater Management District Number 5 (GMD‐5) (Jantzen, 1960; Koelliker, Zovne, Steichen, &amp; Berry, 1981; Cobb, Colarullo, &amp; Hiedari, 1983; GEI Consultants, Inc,; Burns and McDonnell, 1998; Balleau Groundwater, Inc., 2010). This includes documentation of the saline aquifers and their relationship to the surface water system, theories on the dynamics of the system, and suggestions regarding management and socio‐political solutions. Based on this information, achieving sustainable aquifer levels requires changes for appropriate future management and administration. As stewards of our natural resources, the Rattlesnake Creek Partnership has an urgent challenge to act responsibly with effective water use and protection.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While experiencing record drought in south‐central Kansas in 2011, several revisions to Kansas water law occurred that do not consistently support conservation of water resources and protection of senior water rights. To relieve drought stresses on agricultural crops, temporary Emergency Drought Term Permits were allowed to permit pumping irrigation water beyond appropriated quantities. In these cases, pump overages were borrowed from 2012 allotments. Also, the Kansas Legislature passed SB‐272 that enables multi‐year flexibility in water use (Kansas Legislature Committee on Agriculture, SB‐272, 2012).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Refuge. </w:t>
      </w:r>
    </w:p>
    <w:p w:rsidR="00310E80"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Preliminary data for the 12 year review of the Rattlesnake Creek Partnership proposal show that instead of reducing groundwater use in the Rattlesnake Creek sub‐basin, most areas increased groundwater use (Basin Management Team, 2012). Despite above average precipitation in recent years, groundwater use in the stream corridor area, priority areas 1, 3, and 4 (12% target reduction) increased from 29,194 acre feet in 2001 to 30,647 acre feet in 2010. Average annual groundwater use in the groundwater management area, priority areas 2, 5, and the Mystery River area (reduction objective to 85,000 acre feet) increased from 91,734 acre feet in 2001 to 101,342 acre feet in 2010. Average annual groundwater use in priority area 7 and the mineral intrusion area (reduction objective to about 47,000 acre feet) increased from 49,064 acre feet in 20</w:t>
      </w:r>
      <w:r w:rsidR="00310E80">
        <w:rPr>
          <w:rFonts w:ascii="Calibri" w:hAnsi="Calibri" w:cs="Calibri"/>
          <w:color w:val="000000"/>
          <w:sz w:val="22"/>
          <w:szCs w:val="22"/>
        </w:rPr>
        <w:t>01 to 53,837 acre feet in 2010.</w:t>
      </w:r>
    </w:p>
    <w:p w:rsidR="00310E80" w:rsidRDefault="00310E80">
      <w:pPr>
        <w:rPr>
          <w:rFonts w:ascii="Calibri" w:hAnsi="Calibri" w:cs="Calibri"/>
          <w:color w:val="000000"/>
          <w:sz w:val="22"/>
          <w:szCs w:val="22"/>
        </w:rPr>
      </w:pPr>
      <w:r>
        <w:rPr>
          <w:rFonts w:ascii="Calibri" w:hAnsi="Calibri" w:cs="Calibri"/>
          <w:color w:val="000000"/>
          <w:sz w:val="22"/>
          <w:szCs w:val="22"/>
        </w:rPr>
        <w:br w:type="page"/>
      </w:r>
    </w:p>
    <w:p w:rsidR="00B73CFF" w:rsidRDefault="00B73CFF" w:rsidP="00B73CFF">
      <w:pPr>
        <w:pStyle w:val="CM3"/>
        <w:spacing w:after="467" w:line="268" w:lineRule="atLeast"/>
        <w:rPr>
          <w:rFonts w:cs="Cambria"/>
          <w:b/>
          <w:bCs/>
          <w:i/>
          <w:iCs/>
          <w:color w:val="4E82BC"/>
          <w:sz w:val="22"/>
          <w:szCs w:val="22"/>
        </w:rPr>
      </w:pPr>
      <w:r>
        <w:rPr>
          <w:rFonts w:cs="Cambria"/>
          <w:b/>
          <w:bCs/>
          <w:i/>
          <w:iCs/>
          <w:color w:val="4E82BC"/>
          <w:sz w:val="22"/>
          <w:szCs w:val="22"/>
        </w:rPr>
        <w:lastRenderedPageBreak/>
        <w:t xml:space="preserve">Aquifer Depletion </w:t>
      </w:r>
    </w:p>
    <w:p w:rsidR="00B73CFF" w:rsidRPr="00B73CFF" w:rsidRDefault="00B73CFF" w:rsidP="00B73CFF">
      <w:pPr>
        <w:pStyle w:val="CM3"/>
        <w:spacing w:after="467" w:line="268" w:lineRule="atLeast"/>
        <w:rPr>
          <w:rFonts w:cs="Cambria"/>
          <w:color w:val="4E82BC"/>
          <w:sz w:val="22"/>
          <w:szCs w:val="22"/>
        </w:rPr>
      </w:pPr>
      <w:r>
        <w:rPr>
          <w:rFonts w:ascii="Calibri" w:hAnsi="Calibri" w:cs="Calibri"/>
          <w:color w:val="000000"/>
          <w:sz w:val="22"/>
          <w:szCs w:val="22"/>
        </w:rPr>
        <w:t xml:space="preserve">Groundwater use for irrigation in GMD‐5 is lowering the static water level in wells. Substantial drops in groundwater levels were recorded in 2012 by the DWR throughout western and south‐central Kansas. GMD‐5 groundwater levels changed from +0.63 feet in 2010 to –0.44 feet in 2011, and were averaging –2.95 feet in January 2012 (Kansas Geological Survey, 2012). </w:t>
      </w:r>
    </w:p>
    <w:p w:rsidR="00B73CFF" w:rsidRDefault="00B73CFF" w:rsidP="00B73CFF">
      <w:pPr>
        <w:pStyle w:val="CM3"/>
        <w:spacing w:after="467" w:line="268" w:lineRule="atLeast"/>
        <w:ind w:right="102"/>
        <w:rPr>
          <w:rFonts w:ascii="Calibri" w:hAnsi="Calibri" w:cs="Calibri"/>
          <w:color w:val="000000"/>
          <w:sz w:val="22"/>
          <w:szCs w:val="22"/>
        </w:rPr>
      </w:pPr>
      <w:r>
        <w:rPr>
          <w:rFonts w:ascii="Calibri" w:hAnsi="Calibri" w:cs="Calibri"/>
          <w:color w:val="000000"/>
          <w:sz w:val="22"/>
          <w:szCs w:val="22"/>
        </w:rPr>
        <w:t xml:space="preserve">Groundwater discharge from the Alluvial and Great Bend Aquifer is the primary mechanism that provides base‐flow in Rattlesnake Creek. Streamflow in Rattlesnake Creek was reduced to zero during the summer, 2011. Solving the surface water depletion problem is dependent upon solving the groundwater depletion problem. Water conservation programs and administration by the State are necessary to preserve the groundwater resources in the region and protect the water rights of the Refuge. </w:t>
      </w:r>
    </w:p>
    <w:p w:rsidR="00B73CFF" w:rsidRDefault="00B73CFF" w:rsidP="00B73CFF">
      <w:pPr>
        <w:pStyle w:val="CM1"/>
        <w:rPr>
          <w:rFonts w:cs="Cambria"/>
          <w:color w:val="4E82BC"/>
          <w:sz w:val="22"/>
          <w:szCs w:val="22"/>
        </w:rPr>
      </w:pPr>
      <w:r>
        <w:rPr>
          <w:rFonts w:cs="Cambria"/>
          <w:b/>
          <w:bCs/>
          <w:i/>
          <w:iCs/>
          <w:color w:val="4E82BC"/>
          <w:sz w:val="22"/>
          <w:szCs w:val="22"/>
        </w:rPr>
        <w:t xml:space="preserve">Moving forward </w:t>
      </w:r>
    </w:p>
    <w:p w:rsidR="00B73CFF" w:rsidRDefault="00B73CFF" w:rsidP="00B73CFF">
      <w:pPr>
        <w:pStyle w:val="CM4"/>
        <w:spacing w:after="270" w:line="268" w:lineRule="atLeast"/>
        <w:ind w:right="102"/>
        <w:rPr>
          <w:rFonts w:ascii="Calibri" w:hAnsi="Calibri" w:cs="Calibri"/>
          <w:color w:val="000000"/>
          <w:sz w:val="22"/>
          <w:szCs w:val="22"/>
        </w:rPr>
      </w:pPr>
      <w:r>
        <w:rPr>
          <w:rFonts w:ascii="Calibri" w:hAnsi="Calibri" w:cs="Calibri"/>
          <w:color w:val="000000"/>
          <w:sz w:val="22"/>
          <w:szCs w:val="22"/>
        </w:rPr>
        <w:t xml:space="preserve">The USGS monitors Rattlesnake Creek flows into the Refuge at the Zenith gage. From Zenith, Rattlesnake Creek enters the Refuge system and transports water to the Little Salt Marsh for storage and subsequent use. Water released from the Refuge returns to Rattlesnake Creek, eventually flowing into the Arkansas River. There are no downstream users of water exiting the Refuge and the Refuge does not meter streamflow leaving the Refuge. Regardless, the Service received a Meter Order from Kansas Chief Engineer David W. Barfield (February 3, 2011) requiring installation of flow‐meters on all points of diversion on the Refuge, in order to facilitate increased water management and to promote the efficient use of water in the Western Kansas, Southwest Kansas, and Big Bend Groundwater Management Districts. The difficulty in installing continuous flow‐meters in the multiple water diversions from Rattlesnake Creek has delayed compliance with the meter order. A recent (February, 2012) meeting on the Refuge with DWR representatives led to an agreement for locations of flow metering equipment, and the development of a Flow Monitoring Plan (Striffler, 2012). Installation of continuous monitoring Doppler velocity meters at six points of diversion from Rattlesnake Creek is planned for spring 2012. </w:t>
      </w:r>
    </w:p>
    <w:p w:rsidR="00B73CFF" w:rsidRDefault="00B73CFF" w:rsidP="00B73CFF">
      <w:pPr>
        <w:pStyle w:val="CM1"/>
      </w:pPr>
      <w:r>
        <w:rPr>
          <w:rFonts w:ascii="Calibri" w:hAnsi="Calibri" w:cs="Calibri"/>
          <w:color w:val="000000"/>
          <w:sz w:val="22"/>
          <w:szCs w:val="22"/>
        </w:rPr>
        <w:t xml:space="preserve">The Service has formally issued a recommendation to the DWR to: 1) determine whether an IGUCA is warranted for the Rattlesnake Creek sub‐basin, and 2) to determine the administrative actions required ensuring groundwater use goals spelled out in the Rattlesnake Creek Sub‐basin Management Plan are met, and that actions are ready to implement in 2012. After water use reduction goals in the Rattlesnake Creek Management Plan are met, it may be beneficial to optimize groundwater pumping curtailments using the Balleau GMD‐5 Groundwater Model, as long as groundwater use reductions are maintained. The Service may be forced to pursue legal measures if the Service’s water right is not protected. </w:t>
      </w:r>
    </w:p>
    <w:p w:rsidR="00DA5626" w:rsidRDefault="00DA5626">
      <w:pPr>
        <w:rPr>
          <w:rFonts w:ascii="Segoe UI" w:hAnsi="Segoe UI" w:cs="Segoe UI"/>
          <w:b/>
        </w:rPr>
        <w:sectPr w:rsidR="00DA5626" w:rsidSect="00D671A0">
          <w:pgSz w:w="12240" w:h="15840"/>
          <w:pgMar w:top="1440" w:right="900" w:bottom="1440" w:left="1350" w:header="720" w:footer="720" w:gutter="0"/>
          <w:cols w:space="720"/>
          <w:docGrid w:linePitch="360"/>
        </w:sectPr>
      </w:pPr>
    </w:p>
    <w:p w:rsidR="00774435" w:rsidRDefault="00774435">
      <w:pPr>
        <w:rPr>
          <w:rFonts w:ascii="Segoe UI" w:hAnsi="Segoe UI" w:cs="Segoe UI"/>
          <w:b/>
        </w:rPr>
      </w:pPr>
    </w:p>
    <w:p w:rsidR="00563F35" w:rsidRDefault="00563F35" w:rsidP="00563F35">
      <w:pPr>
        <w:jc w:val="center"/>
        <w:rPr>
          <w:rFonts w:ascii="Segoe UI" w:hAnsi="Segoe UI" w:cs="Segoe UI"/>
          <w:smallCaps/>
        </w:rPr>
      </w:pPr>
    </w:p>
    <w:p w:rsidR="00563F35" w:rsidRDefault="00563F35" w:rsidP="00563F35">
      <w:pPr>
        <w:jc w:val="center"/>
        <w:rPr>
          <w:rFonts w:ascii="Segoe UI" w:hAnsi="Segoe UI" w:cs="Segoe UI"/>
          <w:smallCaps/>
        </w:rPr>
      </w:pPr>
      <w:r>
        <w:rPr>
          <w:rFonts w:ascii="Segoe UI" w:hAnsi="Segoe UI" w:cs="Segoe UI"/>
          <w:smallCaps/>
        </w:rPr>
        <w:t>Position Of</w:t>
      </w:r>
    </w:p>
    <w:p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rsidR="00563F35" w:rsidRDefault="00563F35" w:rsidP="00563F35">
      <w:pPr>
        <w:spacing w:line="192" w:lineRule="auto"/>
        <w:jc w:val="center"/>
        <w:rPr>
          <w:rFonts w:ascii="Segoe UI" w:hAnsi="Segoe UI" w:cs="Segoe UI"/>
          <w:smallCaps/>
        </w:rPr>
      </w:pPr>
    </w:p>
    <w:p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rsidR="00563F35" w:rsidRPr="006A317A" w:rsidRDefault="00563F35" w:rsidP="00563F35">
      <w:pPr>
        <w:spacing w:line="192" w:lineRule="auto"/>
        <w:jc w:val="center"/>
        <w:rPr>
          <w:rFonts w:ascii="Segoe UI" w:hAnsi="Segoe UI" w:cs="Segoe UI"/>
          <w:smallCaps/>
        </w:rPr>
      </w:pP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rsidR="00CA293C" w:rsidRPr="007F25A3" w:rsidRDefault="00CA293C" w:rsidP="002657D6">
      <w:pPr>
        <w:jc w:val="center"/>
        <w:rPr>
          <w:rFonts w:ascii="Segoe UI" w:hAnsi="Segoe UI" w:cs="Segoe UI"/>
        </w:rPr>
      </w:pPr>
    </w:p>
    <w:sectPr w:rsidR="00CA293C" w:rsidRPr="007F25A3" w:rsidSect="000A22A9">
      <w:headerReference w:type="default" r:id="rId42"/>
      <w:headerReference w:type="first" r:id="rId43"/>
      <w:pgSz w:w="12240" w:h="15840"/>
      <w:pgMar w:top="1440" w:right="900" w:bottom="1440" w:left="13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326" w:rsidRDefault="00DD0326">
      <w:r>
        <w:separator/>
      </w:r>
    </w:p>
  </w:endnote>
  <w:endnote w:type="continuationSeparator" w:id="0">
    <w:p w:rsidR="00DD0326" w:rsidRDefault="00DD0326">
      <w:r>
        <w:continuationSeparator/>
      </w:r>
    </w:p>
  </w:endnote>
  <w:endnote w:type="continuationNotice" w:id="1">
    <w:p w:rsidR="00DD0326" w:rsidRDefault="00DD0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0326" w:rsidRDefault="00DD0326"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6208">
      <w:rPr>
        <w:rStyle w:val="PageNumber"/>
        <w:noProof/>
      </w:rPr>
      <w:t>2</w:t>
    </w:r>
    <w:r>
      <w:rPr>
        <w:rStyle w:val="PageNumber"/>
      </w:rPr>
      <w:fldChar w:fldCharType="end"/>
    </w:r>
  </w:p>
  <w:p w:rsidR="00DD0326" w:rsidRDefault="00DD0326"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0326" w:rsidRDefault="00DD0326"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6208">
      <w:rPr>
        <w:rStyle w:val="PageNumber"/>
        <w:noProof/>
      </w:rPr>
      <w:t>39</w:t>
    </w:r>
    <w:r>
      <w:rPr>
        <w:rStyle w:val="PageNumber"/>
      </w:rPr>
      <w:fldChar w:fldCharType="end"/>
    </w:r>
  </w:p>
  <w:p w:rsidR="00DD0326" w:rsidRDefault="00DD0326"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326" w:rsidRDefault="00DD0326">
      <w:r>
        <w:separator/>
      </w:r>
    </w:p>
  </w:footnote>
  <w:footnote w:type="continuationSeparator" w:id="0">
    <w:p w:rsidR="00DD0326" w:rsidRDefault="00DD0326">
      <w:r>
        <w:continuationSeparator/>
      </w:r>
    </w:p>
  </w:footnote>
  <w:footnote w:type="continuationNotice" w:id="1">
    <w:p w:rsidR="00DD0326" w:rsidRDefault="00DD03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r>
      <w:rPr>
        <w:noProof/>
      </w:rPr>
      <w:drawing>
        <wp:anchor distT="0" distB="0" distL="114300" distR="114300" simplePos="0" relativeHeight="251661824" behindDoc="1" locked="0" layoutInCell="1" allowOverlap="1" wp14:anchorId="720DD035" wp14:editId="16F96C2E">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7"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26" w:rsidRDefault="00DD0326">
    <w:pPr>
      <w:pStyle w:val="Header"/>
    </w:pPr>
    <w:r>
      <w:rPr>
        <w:noProof/>
      </w:rPr>
      <w:drawing>
        <wp:anchor distT="0" distB="0" distL="114300" distR="114300" simplePos="0" relativeHeight="251663872" behindDoc="1" locked="0" layoutInCell="1" allowOverlap="1" wp14:anchorId="1D7EF9A9" wp14:editId="2B3C9B57">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8"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4"/>
  </w:num>
  <w:num w:numId="6">
    <w:abstractNumId w:val="2"/>
  </w:num>
  <w:num w:numId="7">
    <w:abstractNumId w:val="16"/>
  </w:num>
  <w:num w:numId="8">
    <w:abstractNumId w:val="0"/>
  </w:num>
  <w:num w:numId="9">
    <w:abstractNumId w:val="1"/>
  </w:num>
  <w:num w:numId="10">
    <w:abstractNumId w:val="13"/>
  </w:num>
  <w:num w:numId="11">
    <w:abstractNumId w:val="15"/>
  </w:num>
  <w:num w:numId="12">
    <w:abstractNumId w:val="9"/>
  </w:num>
  <w:num w:numId="13">
    <w:abstractNumId w:val="14"/>
  </w:num>
  <w:num w:numId="14">
    <w:abstractNumId w:val="12"/>
  </w:num>
  <w:num w:numId="15">
    <w:abstractNumId w:val="5"/>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17B"/>
    <w:rsid w:val="00002947"/>
    <w:rsid w:val="00002C36"/>
    <w:rsid w:val="00002F8D"/>
    <w:rsid w:val="00002FF8"/>
    <w:rsid w:val="0000325F"/>
    <w:rsid w:val="00005C05"/>
    <w:rsid w:val="00006064"/>
    <w:rsid w:val="00006B0B"/>
    <w:rsid w:val="000077EA"/>
    <w:rsid w:val="00007A80"/>
    <w:rsid w:val="000143B2"/>
    <w:rsid w:val="00015051"/>
    <w:rsid w:val="000162AC"/>
    <w:rsid w:val="00020165"/>
    <w:rsid w:val="00021144"/>
    <w:rsid w:val="00021819"/>
    <w:rsid w:val="00023B4A"/>
    <w:rsid w:val="00025314"/>
    <w:rsid w:val="00026BE1"/>
    <w:rsid w:val="00030D80"/>
    <w:rsid w:val="000313EF"/>
    <w:rsid w:val="00031E76"/>
    <w:rsid w:val="000356A0"/>
    <w:rsid w:val="00035E30"/>
    <w:rsid w:val="000362E1"/>
    <w:rsid w:val="0004519E"/>
    <w:rsid w:val="00050944"/>
    <w:rsid w:val="00051078"/>
    <w:rsid w:val="00052F5A"/>
    <w:rsid w:val="00054F8C"/>
    <w:rsid w:val="00056D57"/>
    <w:rsid w:val="000604BE"/>
    <w:rsid w:val="00060ED4"/>
    <w:rsid w:val="0006255F"/>
    <w:rsid w:val="00063646"/>
    <w:rsid w:val="0006429C"/>
    <w:rsid w:val="00064862"/>
    <w:rsid w:val="0006544A"/>
    <w:rsid w:val="00072487"/>
    <w:rsid w:val="0007360F"/>
    <w:rsid w:val="00074A77"/>
    <w:rsid w:val="00075060"/>
    <w:rsid w:val="000765E2"/>
    <w:rsid w:val="00076916"/>
    <w:rsid w:val="00077183"/>
    <w:rsid w:val="00080E9E"/>
    <w:rsid w:val="00081A4A"/>
    <w:rsid w:val="00085C6D"/>
    <w:rsid w:val="000873C5"/>
    <w:rsid w:val="00087CE3"/>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272"/>
    <w:rsid w:val="000C3906"/>
    <w:rsid w:val="000C4154"/>
    <w:rsid w:val="000C4E8D"/>
    <w:rsid w:val="000C6BD6"/>
    <w:rsid w:val="000C7996"/>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7D2"/>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47669"/>
    <w:rsid w:val="00150641"/>
    <w:rsid w:val="00150E21"/>
    <w:rsid w:val="00152B16"/>
    <w:rsid w:val="00152EC3"/>
    <w:rsid w:val="001533EF"/>
    <w:rsid w:val="001534E2"/>
    <w:rsid w:val="00160496"/>
    <w:rsid w:val="00160806"/>
    <w:rsid w:val="00162A7A"/>
    <w:rsid w:val="00165961"/>
    <w:rsid w:val="00165F14"/>
    <w:rsid w:val="001704A0"/>
    <w:rsid w:val="0017355C"/>
    <w:rsid w:val="001735BD"/>
    <w:rsid w:val="0017402F"/>
    <w:rsid w:val="00174581"/>
    <w:rsid w:val="00175C7C"/>
    <w:rsid w:val="00177B01"/>
    <w:rsid w:val="00183376"/>
    <w:rsid w:val="00186439"/>
    <w:rsid w:val="00191A90"/>
    <w:rsid w:val="00194111"/>
    <w:rsid w:val="001949B0"/>
    <w:rsid w:val="001958DB"/>
    <w:rsid w:val="00195F53"/>
    <w:rsid w:val="00196801"/>
    <w:rsid w:val="001A59D4"/>
    <w:rsid w:val="001A71EC"/>
    <w:rsid w:val="001B31D0"/>
    <w:rsid w:val="001B5CC4"/>
    <w:rsid w:val="001C1C14"/>
    <w:rsid w:val="001C3DA2"/>
    <w:rsid w:val="001C403A"/>
    <w:rsid w:val="001C4336"/>
    <w:rsid w:val="001C640D"/>
    <w:rsid w:val="001C7DD0"/>
    <w:rsid w:val="001D032C"/>
    <w:rsid w:val="001D0AD6"/>
    <w:rsid w:val="001D28D3"/>
    <w:rsid w:val="001D41F2"/>
    <w:rsid w:val="001D4F1F"/>
    <w:rsid w:val="001E3E10"/>
    <w:rsid w:val="001E4A98"/>
    <w:rsid w:val="001F093C"/>
    <w:rsid w:val="001F0E22"/>
    <w:rsid w:val="001F2813"/>
    <w:rsid w:val="001F4FC0"/>
    <w:rsid w:val="001F574C"/>
    <w:rsid w:val="001F77B6"/>
    <w:rsid w:val="0020096E"/>
    <w:rsid w:val="00203C02"/>
    <w:rsid w:val="00204542"/>
    <w:rsid w:val="00210FF9"/>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C71"/>
    <w:rsid w:val="00252FD3"/>
    <w:rsid w:val="00253C5B"/>
    <w:rsid w:val="002548DC"/>
    <w:rsid w:val="0025521E"/>
    <w:rsid w:val="00256208"/>
    <w:rsid w:val="002608F1"/>
    <w:rsid w:val="00260CE6"/>
    <w:rsid w:val="002634BA"/>
    <w:rsid w:val="002636A5"/>
    <w:rsid w:val="002639F7"/>
    <w:rsid w:val="00264088"/>
    <w:rsid w:val="0026500D"/>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1EF4"/>
    <w:rsid w:val="002A2B81"/>
    <w:rsid w:val="002A45A3"/>
    <w:rsid w:val="002A59BD"/>
    <w:rsid w:val="002A6131"/>
    <w:rsid w:val="002B0E4E"/>
    <w:rsid w:val="002B1A0E"/>
    <w:rsid w:val="002B2DE2"/>
    <w:rsid w:val="002B338D"/>
    <w:rsid w:val="002B4560"/>
    <w:rsid w:val="002B4AEA"/>
    <w:rsid w:val="002B6FE8"/>
    <w:rsid w:val="002C12BE"/>
    <w:rsid w:val="002C2EFC"/>
    <w:rsid w:val="002C42A1"/>
    <w:rsid w:val="002C442D"/>
    <w:rsid w:val="002C4A2B"/>
    <w:rsid w:val="002C4E19"/>
    <w:rsid w:val="002D5930"/>
    <w:rsid w:val="002D6FF2"/>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0E80"/>
    <w:rsid w:val="00314541"/>
    <w:rsid w:val="00314930"/>
    <w:rsid w:val="00315464"/>
    <w:rsid w:val="00321067"/>
    <w:rsid w:val="00321145"/>
    <w:rsid w:val="00323C63"/>
    <w:rsid w:val="0032479A"/>
    <w:rsid w:val="003257C6"/>
    <w:rsid w:val="00330EDD"/>
    <w:rsid w:val="00331AF5"/>
    <w:rsid w:val="00332D6E"/>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516"/>
    <w:rsid w:val="00395C7E"/>
    <w:rsid w:val="003A102E"/>
    <w:rsid w:val="003A2B62"/>
    <w:rsid w:val="003A38D4"/>
    <w:rsid w:val="003A5C5B"/>
    <w:rsid w:val="003A6393"/>
    <w:rsid w:val="003B021D"/>
    <w:rsid w:val="003B1665"/>
    <w:rsid w:val="003B48C4"/>
    <w:rsid w:val="003C082C"/>
    <w:rsid w:val="003C121F"/>
    <w:rsid w:val="003C1E4A"/>
    <w:rsid w:val="003C6805"/>
    <w:rsid w:val="003C693F"/>
    <w:rsid w:val="003C7264"/>
    <w:rsid w:val="003D0243"/>
    <w:rsid w:val="003D069A"/>
    <w:rsid w:val="003D0CE1"/>
    <w:rsid w:val="003D1771"/>
    <w:rsid w:val="003D647E"/>
    <w:rsid w:val="003E01E3"/>
    <w:rsid w:val="003E0B45"/>
    <w:rsid w:val="003E381D"/>
    <w:rsid w:val="003E43FB"/>
    <w:rsid w:val="003E65FB"/>
    <w:rsid w:val="003F251C"/>
    <w:rsid w:val="003F2B8F"/>
    <w:rsid w:val="003F37E0"/>
    <w:rsid w:val="003F6521"/>
    <w:rsid w:val="00402321"/>
    <w:rsid w:val="00403A1B"/>
    <w:rsid w:val="0040524B"/>
    <w:rsid w:val="004053D3"/>
    <w:rsid w:val="004066F2"/>
    <w:rsid w:val="00407446"/>
    <w:rsid w:val="00411A47"/>
    <w:rsid w:val="00411EF9"/>
    <w:rsid w:val="004129FD"/>
    <w:rsid w:val="00413E95"/>
    <w:rsid w:val="0042127A"/>
    <w:rsid w:val="00421D73"/>
    <w:rsid w:val="00423717"/>
    <w:rsid w:val="00426082"/>
    <w:rsid w:val="00427BB9"/>
    <w:rsid w:val="00432868"/>
    <w:rsid w:val="004339B7"/>
    <w:rsid w:val="0043718C"/>
    <w:rsid w:val="00437D52"/>
    <w:rsid w:val="00437EB8"/>
    <w:rsid w:val="004425F8"/>
    <w:rsid w:val="00443753"/>
    <w:rsid w:val="0044386D"/>
    <w:rsid w:val="00444ED0"/>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5D"/>
    <w:rsid w:val="0047209F"/>
    <w:rsid w:val="00472A32"/>
    <w:rsid w:val="00473DC7"/>
    <w:rsid w:val="00474900"/>
    <w:rsid w:val="004755A5"/>
    <w:rsid w:val="00475E22"/>
    <w:rsid w:val="00476108"/>
    <w:rsid w:val="004832A2"/>
    <w:rsid w:val="00483B38"/>
    <w:rsid w:val="00485513"/>
    <w:rsid w:val="00486600"/>
    <w:rsid w:val="00486630"/>
    <w:rsid w:val="004868DA"/>
    <w:rsid w:val="00486E0D"/>
    <w:rsid w:val="00490CDD"/>
    <w:rsid w:val="00491EEB"/>
    <w:rsid w:val="004934D1"/>
    <w:rsid w:val="00493B02"/>
    <w:rsid w:val="0049481E"/>
    <w:rsid w:val="00495477"/>
    <w:rsid w:val="004A07D4"/>
    <w:rsid w:val="004A0ED9"/>
    <w:rsid w:val="004A68FF"/>
    <w:rsid w:val="004A6DE5"/>
    <w:rsid w:val="004A6E3B"/>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5513"/>
    <w:rsid w:val="004E6834"/>
    <w:rsid w:val="004E7183"/>
    <w:rsid w:val="004E7C5D"/>
    <w:rsid w:val="004F0073"/>
    <w:rsid w:val="004F3348"/>
    <w:rsid w:val="004F6889"/>
    <w:rsid w:val="004F71C5"/>
    <w:rsid w:val="0050212A"/>
    <w:rsid w:val="00503308"/>
    <w:rsid w:val="00504B29"/>
    <w:rsid w:val="00504DFE"/>
    <w:rsid w:val="005107BB"/>
    <w:rsid w:val="00510CA3"/>
    <w:rsid w:val="00511090"/>
    <w:rsid w:val="005116CD"/>
    <w:rsid w:val="00513E9A"/>
    <w:rsid w:val="005141BE"/>
    <w:rsid w:val="00514D7E"/>
    <w:rsid w:val="00515B70"/>
    <w:rsid w:val="00515B75"/>
    <w:rsid w:val="00516DE9"/>
    <w:rsid w:val="00517532"/>
    <w:rsid w:val="0052483D"/>
    <w:rsid w:val="00524F4C"/>
    <w:rsid w:val="0053012A"/>
    <w:rsid w:val="0053083B"/>
    <w:rsid w:val="00532842"/>
    <w:rsid w:val="00532E42"/>
    <w:rsid w:val="00533A19"/>
    <w:rsid w:val="005343AC"/>
    <w:rsid w:val="00535BC3"/>
    <w:rsid w:val="005367CC"/>
    <w:rsid w:val="0054167D"/>
    <w:rsid w:val="0054239D"/>
    <w:rsid w:val="00545C7E"/>
    <w:rsid w:val="00546E5C"/>
    <w:rsid w:val="005511A3"/>
    <w:rsid w:val="0055135D"/>
    <w:rsid w:val="00551993"/>
    <w:rsid w:val="00551A79"/>
    <w:rsid w:val="005528B9"/>
    <w:rsid w:val="00553490"/>
    <w:rsid w:val="0055674C"/>
    <w:rsid w:val="00560100"/>
    <w:rsid w:val="00560D70"/>
    <w:rsid w:val="00561702"/>
    <w:rsid w:val="00562306"/>
    <w:rsid w:val="005626A4"/>
    <w:rsid w:val="00563F35"/>
    <w:rsid w:val="00564FA7"/>
    <w:rsid w:val="00572223"/>
    <w:rsid w:val="0057352D"/>
    <w:rsid w:val="00575485"/>
    <w:rsid w:val="0057558E"/>
    <w:rsid w:val="005761F5"/>
    <w:rsid w:val="00577771"/>
    <w:rsid w:val="00580F62"/>
    <w:rsid w:val="00582CBA"/>
    <w:rsid w:val="005834D4"/>
    <w:rsid w:val="005839DB"/>
    <w:rsid w:val="00584482"/>
    <w:rsid w:val="00590311"/>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5521"/>
    <w:rsid w:val="005D7332"/>
    <w:rsid w:val="005E263C"/>
    <w:rsid w:val="005E66DE"/>
    <w:rsid w:val="005E7850"/>
    <w:rsid w:val="005E7ABC"/>
    <w:rsid w:val="005F01EF"/>
    <w:rsid w:val="005F0855"/>
    <w:rsid w:val="005F146E"/>
    <w:rsid w:val="005F1DE5"/>
    <w:rsid w:val="005F26B8"/>
    <w:rsid w:val="005F3447"/>
    <w:rsid w:val="005F3D32"/>
    <w:rsid w:val="005F3D9F"/>
    <w:rsid w:val="005F48F4"/>
    <w:rsid w:val="005F4D57"/>
    <w:rsid w:val="005F66C2"/>
    <w:rsid w:val="005F6CD2"/>
    <w:rsid w:val="005F6FFE"/>
    <w:rsid w:val="005F7957"/>
    <w:rsid w:val="0060018C"/>
    <w:rsid w:val="00600395"/>
    <w:rsid w:val="00600A09"/>
    <w:rsid w:val="006010B3"/>
    <w:rsid w:val="00601D83"/>
    <w:rsid w:val="00603410"/>
    <w:rsid w:val="00607682"/>
    <w:rsid w:val="006107E7"/>
    <w:rsid w:val="0061149F"/>
    <w:rsid w:val="00613ADF"/>
    <w:rsid w:val="00613EDA"/>
    <w:rsid w:val="0061408E"/>
    <w:rsid w:val="0061543E"/>
    <w:rsid w:val="006267CD"/>
    <w:rsid w:val="006270C1"/>
    <w:rsid w:val="006305C5"/>
    <w:rsid w:val="00633160"/>
    <w:rsid w:val="0063438F"/>
    <w:rsid w:val="00635523"/>
    <w:rsid w:val="00636DB6"/>
    <w:rsid w:val="00640FF0"/>
    <w:rsid w:val="00642935"/>
    <w:rsid w:val="006432FB"/>
    <w:rsid w:val="006507AC"/>
    <w:rsid w:val="0065116B"/>
    <w:rsid w:val="00651CD0"/>
    <w:rsid w:val="00654B7C"/>
    <w:rsid w:val="00656CCD"/>
    <w:rsid w:val="00661CAC"/>
    <w:rsid w:val="006637AC"/>
    <w:rsid w:val="00663CB4"/>
    <w:rsid w:val="00665851"/>
    <w:rsid w:val="0066765B"/>
    <w:rsid w:val="00671E6E"/>
    <w:rsid w:val="00672CF3"/>
    <w:rsid w:val="006742F6"/>
    <w:rsid w:val="0067574F"/>
    <w:rsid w:val="00681060"/>
    <w:rsid w:val="006817CB"/>
    <w:rsid w:val="00691A5E"/>
    <w:rsid w:val="00691D1E"/>
    <w:rsid w:val="006929C2"/>
    <w:rsid w:val="00696218"/>
    <w:rsid w:val="00696BB3"/>
    <w:rsid w:val="006A1C4A"/>
    <w:rsid w:val="006A210F"/>
    <w:rsid w:val="006A2536"/>
    <w:rsid w:val="006A28E4"/>
    <w:rsid w:val="006A2ABE"/>
    <w:rsid w:val="006A4F81"/>
    <w:rsid w:val="006A68DE"/>
    <w:rsid w:val="006A77F7"/>
    <w:rsid w:val="006A7E65"/>
    <w:rsid w:val="006B0D1E"/>
    <w:rsid w:val="006B5727"/>
    <w:rsid w:val="006B7055"/>
    <w:rsid w:val="006B767F"/>
    <w:rsid w:val="006C0C16"/>
    <w:rsid w:val="006C146B"/>
    <w:rsid w:val="006C518A"/>
    <w:rsid w:val="006C6F9A"/>
    <w:rsid w:val="006C7817"/>
    <w:rsid w:val="006D1072"/>
    <w:rsid w:val="006D15F2"/>
    <w:rsid w:val="006D1BE7"/>
    <w:rsid w:val="006D3709"/>
    <w:rsid w:val="006D392B"/>
    <w:rsid w:val="006D6BE6"/>
    <w:rsid w:val="006E074B"/>
    <w:rsid w:val="006E0FD5"/>
    <w:rsid w:val="006E2D38"/>
    <w:rsid w:val="006E2F4C"/>
    <w:rsid w:val="006E3F4A"/>
    <w:rsid w:val="006E4B8E"/>
    <w:rsid w:val="006F041E"/>
    <w:rsid w:val="006F10C8"/>
    <w:rsid w:val="006F3F9C"/>
    <w:rsid w:val="006F76E6"/>
    <w:rsid w:val="007038F4"/>
    <w:rsid w:val="00704748"/>
    <w:rsid w:val="0070516F"/>
    <w:rsid w:val="00705E60"/>
    <w:rsid w:val="00706879"/>
    <w:rsid w:val="00707098"/>
    <w:rsid w:val="007075BB"/>
    <w:rsid w:val="007105E9"/>
    <w:rsid w:val="00716A60"/>
    <w:rsid w:val="00725BE4"/>
    <w:rsid w:val="0072725D"/>
    <w:rsid w:val="00732B76"/>
    <w:rsid w:val="00734C3E"/>
    <w:rsid w:val="00734D15"/>
    <w:rsid w:val="00736A4E"/>
    <w:rsid w:val="00736EA2"/>
    <w:rsid w:val="00737CDB"/>
    <w:rsid w:val="0074058D"/>
    <w:rsid w:val="00741CF3"/>
    <w:rsid w:val="00742695"/>
    <w:rsid w:val="0074453E"/>
    <w:rsid w:val="007478FF"/>
    <w:rsid w:val="007520EF"/>
    <w:rsid w:val="007523C5"/>
    <w:rsid w:val="007544A6"/>
    <w:rsid w:val="00754A0A"/>
    <w:rsid w:val="00760160"/>
    <w:rsid w:val="00760BAD"/>
    <w:rsid w:val="00761ED0"/>
    <w:rsid w:val="00762582"/>
    <w:rsid w:val="00763DF4"/>
    <w:rsid w:val="00764073"/>
    <w:rsid w:val="007643FC"/>
    <w:rsid w:val="00764CA5"/>
    <w:rsid w:val="00764CE5"/>
    <w:rsid w:val="007653C7"/>
    <w:rsid w:val="0076581D"/>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691"/>
    <w:rsid w:val="00787B23"/>
    <w:rsid w:val="00791A98"/>
    <w:rsid w:val="00791F65"/>
    <w:rsid w:val="00796532"/>
    <w:rsid w:val="00797B80"/>
    <w:rsid w:val="00797E05"/>
    <w:rsid w:val="00797F92"/>
    <w:rsid w:val="007A2249"/>
    <w:rsid w:val="007A239D"/>
    <w:rsid w:val="007A37BC"/>
    <w:rsid w:val="007A415E"/>
    <w:rsid w:val="007A5E01"/>
    <w:rsid w:val="007A78F1"/>
    <w:rsid w:val="007B1561"/>
    <w:rsid w:val="007B1BFC"/>
    <w:rsid w:val="007B3B4C"/>
    <w:rsid w:val="007B3FF5"/>
    <w:rsid w:val="007B4430"/>
    <w:rsid w:val="007B4A8F"/>
    <w:rsid w:val="007C10AD"/>
    <w:rsid w:val="007C30B5"/>
    <w:rsid w:val="007C44B3"/>
    <w:rsid w:val="007C5078"/>
    <w:rsid w:val="007C53CC"/>
    <w:rsid w:val="007C54B2"/>
    <w:rsid w:val="007D61CA"/>
    <w:rsid w:val="007E2251"/>
    <w:rsid w:val="007E5569"/>
    <w:rsid w:val="007E6C68"/>
    <w:rsid w:val="007F0C71"/>
    <w:rsid w:val="007F0EC1"/>
    <w:rsid w:val="007F24C0"/>
    <w:rsid w:val="007F25A3"/>
    <w:rsid w:val="007F3A71"/>
    <w:rsid w:val="007F3F1E"/>
    <w:rsid w:val="007F4D9B"/>
    <w:rsid w:val="007F75CB"/>
    <w:rsid w:val="00800260"/>
    <w:rsid w:val="00801351"/>
    <w:rsid w:val="00802E4D"/>
    <w:rsid w:val="00805951"/>
    <w:rsid w:val="0080637F"/>
    <w:rsid w:val="008105E2"/>
    <w:rsid w:val="0081251D"/>
    <w:rsid w:val="0081315A"/>
    <w:rsid w:val="00817AE5"/>
    <w:rsid w:val="00821438"/>
    <w:rsid w:val="00822FE5"/>
    <w:rsid w:val="00824A6A"/>
    <w:rsid w:val="008250F5"/>
    <w:rsid w:val="0082643F"/>
    <w:rsid w:val="00826E63"/>
    <w:rsid w:val="008277FC"/>
    <w:rsid w:val="0083306C"/>
    <w:rsid w:val="00834EF6"/>
    <w:rsid w:val="00835B58"/>
    <w:rsid w:val="00835E59"/>
    <w:rsid w:val="00840648"/>
    <w:rsid w:val="00840C17"/>
    <w:rsid w:val="00841B58"/>
    <w:rsid w:val="008431E7"/>
    <w:rsid w:val="00844FE1"/>
    <w:rsid w:val="0084575E"/>
    <w:rsid w:val="00845F24"/>
    <w:rsid w:val="0084602F"/>
    <w:rsid w:val="00847045"/>
    <w:rsid w:val="008477E0"/>
    <w:rsid w:val="008500B1"/>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5250"/>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D6E53"/>
    <w:rsid w:val="008E001C"/>
    <w:rsid w:val="008E2BE4"/>
    <w:rsid w:val="008E4B88"/>
    <w:rsid w:val="008E50EA"/>
    <w:rsid w:val="008F1680"/>
    <w:rsid w:val="008F2651"/>
    <w:rsid w:val="008F4332"/>
    <w:rsid w:val="008F598C"/>
    <w:rsid w:val="008F6967"/>
    <w:rsid w:val="008F7E7C"/>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6584"/>
    <w:rsid w:val="00936A37"/>
    <w:rsid w:val="00936E63"/>
    <w:rsid w:val="0093739E"/>
    <w:rsid w:val="009405F4"/>
    <w:rsid w:val="0094362C"/>
    <w:rsid w:val="00943FF7"/>
    <w:rsid w:val="00944222"/>
    <w:rsid w:val="00944488"/>
    <w:rsid w:val="00944794"/>
    <w:rsid w:val="00945821"/>
    <w:rsid w:val="00947FC3"/>
    <w:rsid w:val="00951003"/>
    <w:rsid w:val="009511D1"/>
    <w:rsid w:val="00952344"/>
    <w:rsid w:val="00952D1B"/>
    <w:rsid w:val="00954977"/>
    <w:rsid w:val="009556EE"/>
    <w:rsid w:val="00956892"/>
    <w:rsid w:val="00957948"/>
    <w:rsid w:val="00957FC4"/>
    <w:rsid w:val="00965016"/>
    <w:rsid w:val="0096558E"/>
    <w:rsid w:val="0097188D"/>
    <w:rsid w:val="00972609"/>
    <w:rsid w:val="00972624"/>
    <w:rsid w:val="00972D1C"/>
    <w:rsid w:val="009732F3"/>
    <w:rsid w:val="00973E12"/>
    <w:rsid w:val="00973F59"/>
    <w:rsid w:val="009740A0"/>
    <w:rsid w:val="0097429F"/>
    <w:rsid w:val="009747E0"/>
    <w:rsid w:val="00974A1C"/>
    <w:rsid w:val="00975D1F"/>
    <w:rsid w:val="0097700D"/>
    <w:rsid w:val="00977948"/>
    <w:rsid w:val="00977A2A"/>
    <w:rsid w:val="009806D1"/>
    <w:rsid w:val="00981173"/>
    <w:rsid w:val="00982F16"/>
    <w:rsid w:val="00984690"/>
    <w:rsid w:val="00987BA4"/>
    <w:rsid w:val="00991EF8"/>
    <w:rsid w:val="00992323"/>
    <w:rsid w:val="009928C9"/>
    <w:rsid w:val="00994297"/>
    <w:rsid w:val="009950E2"/>
    <w:rsid w:val="009954D8"/>
    <w:rsid w:val="00995A9E"/>
    <w:rsid w:val="00995C70"/>
    <w:rsid w:val="009963BB"/>
    <w:rsid w:val="00996B95"/>
    <w:rsid w:val="009A1C0B"/>
    <w:rsid w:val="009A20C2"/>
    <w:rsid w:val="009A431F"/>
    <w:rsid w:val="009A6237"/>
    <w:rsid w:val="009B4E33"/>
    <w:rsid w:val="009B6C03"/>
    <w:rsid w:val="009B7869"/>
    <w:rsid w:val="009C11C1"/>
    <w:rsid w:val="009C3919"/>
    <w:rsid w:val="009C3F09"/>
    <w:rsid w:val="009C7236"/>
    <w:rsid w:val="009C7A46"/>
    <w:rsid w:val="009D0364"/>
    <w:rsid w:val="009D30F2"/>
    <w:rsid w:val="009D3F5F"/>
    <w:rsid w:val="009D58B5"/>
    <w:rsid w:val="009D67AB"/>
    <w:rsid w:val="009E0132"/>
    <w:rsid w:val="009E0CFD"/>
    <w:rsid w:val="009E255D"/>
    <w:rsid w:val="009E28EB"/>
    <w:rsid w:val="009E3BAC"/>
    <w:rsid w:val="009E3F88"/>
    <w:rsid w:val="009E4007"/>
    <w:rsid w:val="009E4D04"/>
    <w:rsid w:val="009E5191"/>
    <w:rsid w:val="009F162B"/>
    <w:rsid w:val="009F1FD6"/>
    <w:rsid w:val="009F3352"/>
    <w:rsid w:val="009F3556"/>
    <w:rsid w:val="009F3FF9"/>
    <w:rsid w:val="009F560F"/>
    <w:rsid w:val="009F6A29"/>
    <w:rsid w:val="00A00CDA"/>
    <w:rsid w:val="00A00D51"/>
    <w:rsid w:val="00A02437"/>
    <w:rsid w:val="00A043AA"/>
    <w:rsid w:val="00A04CC3"/>
    <w:rsid w:val="00A10167"/>
    <w:rsid w:val="00A116DB"/>
    <w:rsid w:val="00A1179C"/>
    <w:rsid w:val="00A1276F"/>
    <w:rsid w:val="00A12B09"/>
    <w:rsid w:val="00A131C3"/>
    <w:rsid w:val="00A13691"/>
    <w:rsid w:val="00A15014"/>
    <w:rsid w:val="00A157C7"/>
    <w:rsid w:val="00A16005"/>
    <w:rsid w:val="00A1619B"/>
    <w:rsid w:val="00A16A48"/>
    <w:rsid w:val="00A16E76"/>
    <w:rsid w:val="00A1785B"/>
    <w:rsid w:val="00A20FED"/>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4A6F"/>
    <w:rsid w:val="00A65554"/>
    <w:rsid w:val="00A71154"/>
    <w:rsid w:val="00A72B31"/>
    <w:rsid w:val="00A74560"/>
    <w:rsid w:val="00A761A2"/>
    <w:rsid w:val="00A80AD2"/>
    <w:rsid w:val="00A81379"/>
    <w:rsid w:val="00A842F6"/>
    <w:rsid w:val="00A9462E"/>
    <w:rsid w:val="00A95F49"/>
    <w:rsid w:val="00A97ACB"/>
    <w:rsid w:val="00AA011C"/>
    <w:rsid w:val="00AA1E48"/>
    <w:rsid w:val="00AA250E"/>
    <w:rsid w:val="00AA3ACB"/>
    <w:rsid w:val="00AA3F7F"/>
    <w:rsid w:val="00AA5F66"/>
    <w:rsid w:val="00AB22B9"/>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3E1D"/>
    <w:rsid w:val="00AE466A"/>
    <w:rsid w:val="00AF1356"/>
    <w:rsid w:val="00AF2E2F"/>
    <w:rsid w:val="00AF5874"/>
    <w:rsid w:val="00AF63BA"/>
    <w:rsid w:val="00AF731B"/>
    <w:rsid w:val="00B002B6"/>
    <w:rsid w:val="00B00658"/>
    <w:rsid w:val="00B044D9"/>
    <w:rsid w:val="00B0480E"/>
    <w:rsid w:val="00B064F2"/>
    <w:rsid w:val="00B07014"/>
    <w:rsid w:val="00B07394"/>
    <w:rsid w:val="00B15301"/>
    <w:rsid w:val="00B20298"/>
    <w:rsid w:val="00B21A1E"/>
    <w:rsid w:val="00B24882"/>
    <w:rsid w:val="00B26ADB"/>
    <w:rsid w:val="00B310D6"/>
    <w:rsid w:val="00B325CC"/>
    <w:rsid w:val="00B34055"/>
    <w:rsid w:val="00B37DF0"/>
    <w:rsid w:val="00B46100"/>
    <w:rsid w:val="00B4634B"/>
    <w:rsid w:val="00B464CB"/>
    <w:rsid w:val="00B46760"/>
    <w:rsid w:val="00B477F2"/>
    <w:rsid w:val="00B5081B"/>
    <w:rsid w:val="00B52051"/>
    <w:rsid w:val="00B52E0B"/>
    <w:rsid w:val="00B53759"/>
    <w:rsid w:val="00B55DF9"/>
    <w:rsid w:val="00B624A2"/>
    <w:rsid w:val="00B638CE"/>
    <w:rsid w:val="00B64046"/>
    <w:rsid w:val="00B66421"/>
    <w:rsid w:val="00B72DF0"/>
    <w:rsid w:val="00B73CFF"/>
    <w:rsid w:val="00B750B7"/>
    <w:rsid w:val="00B835CB"/>
    <w:rsid w:val="00B83EC3"/>
    <w:rsid w:val="00B85C19"/>
    <w:rsid w:val="00B90C8D"/>
    <w:rsid w:val="00B92F63"/>
    <w:rsid w:val="00B93CA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5EC"/>
    <w:rsid w:val="00BA7966"/>
    <w:rsid w:val="00BB459C"/>
    <w:rsid w:val="00BB7235"/>
    <w:rsid w:val="00BC5379"/>
    <w:rsid w:val="00BC6F92"/>
    <w:rsid w:val="00BD10F2"/>
    <w:rsid w:val="00BD17E1"/>
    <w:rsid w:val="00BD1F4A"/>
    <w:rsid w:val="00BD2A93"/>
    <w:rsid w:val="00BD2E04"/>
    <w:rsid w:val="00BD2FB6"/>
    <w:rsid w:val="00BD74F1"/>
    <w:rsid w:val="00BD7E2C"/>
    <w:rsid w:val="00BE1F2C"/>
    <w:rsid w:val="00BE2075"/>
    <w:rsid w:val="00BE2877"/>
    <w:rsid w:val="00BE2961"/>
    <w:rsid w:val="00BE2E11"/>
    <w:rsid w:val="00BE3964"/>
    <w:rsid w:val="00BE5B1E"/>
    <w:rsid w:val="00BE5CF7"/>
    <w:rsid w:val="00BE7251"/>
    <w:rsid w:val="00BF25E4"/>
    <w:rsid w:val="00BF25E9"/>
    <w:rsid w:val="00BF281B"/>
    <w:rsid w:val="00BF2DCC"/>
    <w:rsid w:val="00BF49BF"/>
    <w:rsid w:val="00BF52B3"/>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6BF9"/>
    <w:rsid w:val="00C67074"/>
    <w:rsid w:val="00C672BC"/>
    <w:rsid w:val="00C677A4"/>
    <w:rsid w:val="00C67BDF"/>
    <w:rsid w:val="00C705BF"/>
    <w:rsid w:val="00C711C2"/>
    <w:rsid w:val="00C72924"/>
    <w:rsid w:val="00C739A8"/>
    <w:rsid w:val="00C75A1B"/>
    <w:rsid w:val="00C75BFE"/>
    <w:rsid w:val="00C83079"/>
    <w:rsid w:val="00C83780"/>
    <w:rsid w:val="00C85671"/>
    <w:rsid w:val="00C9007B"/>
    <w:rsid w:val="00C91AC6"/>
    <w:rsid w:val="00C94111"/>
    <w:rsid w:val="00C95163"/>
    <w:rsid w:val="00C958F1"/>
    <w:rsid w:val="00C9595A"/>
    <w:rsid w:val="00CA12A8"/>
    <w:rsid w:val="00CA1B72"/>
    <w:rsid w:val="00CA2488"/>
    <w:rsid w:val="00CA261D"/>
    <w:rsid w:val="00CA293C"/>
    <w:rsid w:val="00CA4AD1"/>
    <w:rsid w:val="00CB0A9D"/>
    <w:rsid w:val="00CB0D0D"/>
    <w:rsid w:val="00CB1422"/>
    <w:rsid w:val="00CB3223"/>
    <w:rsid w:val="00CB326A"/>
    <w:rsid w:val="00CB33DA"/>
    <w:rsid w:val="00CB41F5"/>
    <w:rsid w:val="00CB5BF1"/>
    <w:rsid w:val="00CC29BD"/>
    <w:rsid w:val="00CC3A09"/>
    <w:rsid w:val="00CC572C"/>
    <w:rsid w:val="00CD170C"/>
    <w:rsid w:val="00CD1F89"/>
    <w:rsid w:val="00CD4370"/>
    <w:rsid w:val="00CD63DE"/>
    <w:rsid w:val="00CE01DD"/>
    <w:rsid w:val="00CE2AD3"/>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4F39"/>
    <w:rsid w:val="00D069A5"/>
    <w:rsid w:val="00D137E5"/>
    <w:rsid w:val="00D1416D"/>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57D42"/>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EEE"/>
    <w:rsid w:val="00D97FC5"/>
    <w:rsid w:val="00DA2DE5"/>
    <w:rsid w:val="00DA5626"/>
    <w:rsid w:val="00DA5697"/>
    <w:rsid w:val="00DB0293"/>
    <w:rsid w:val="00DB0929"/>
    <w:rsid w:val="00DB1584"/>
    <w:rsid w:val="00DB5F33"/>
    <w:rsid w:val="00DB7BB7"/>
    <w:rsid w:val="00DC14D3"/>
    <w:rsid w:val="00DC14E2"/>
    <w:rsid w:val="00DC21E5"/>
    <w:rsid w:val="00DC495D"/>
    <w:rsid w:val="00DC4993"/>
    <w:rsid w:val="00DC551F"/>
    <w:rsid w:val="00DC6C93"/>
    <w:rsid w:val="00DC7AD6"/>
    <w:rsid w:val="00DC7CAA"/>
    <w:rsid w:val="00DD017E"/>
    <w:rsid w:val="00DD0326"/>
    <w:rsid w:val="00DD0849"/>
    <w:rsid w:val="00DD1396"/>
    <w:rsid w:val="00DD1B01"/>
    <w:rsid w:val="00DD2028"/>
    <w:rsid w:val="00DE019F"/>
    <w:rsid w:val="00DE0F95"/>
    <w:rsid w:val="00DE42AA"/>
    <w:rsid w:val="00DE4D11"/>
    <w:rsid w:val="00DE5B25"/>
    <w:rsid w:val="00DE64A2"/>
    <w:rsid w:val="00DE6669"/>
    <w:rsid w:val="00DE7037"/>
    <w:rsid w:val="00DE7FFC"/>
    <w:rsid w:val="00DF0C41"/>
    <w:rsid w:val="00DF2DE3"/>
    <w:rsid w:val="00DF4FBA"/>
    <w:rsid w:val="00DF5A66"/>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36E82"/>
    <w:rsid w:val="00E41A04"/>
    <w:rsid w:val="00E42F30"/>
    <w:rsid w:val="00E45073"/>
    <w:rsid w:val="00E4628D"/>
    <w:rsid w:val="00E473F7"/>
    <w:rsid w:val="00E50373"/>
    <w:rsid w:val="00E51C11"/>
    <w:rsid w:val="00E53064"/>
    <w:rsid w:val="00E55979"/>
    <w:rsid w:val="00E560F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96AEB"/>
    <w:rsid w:val="00EA41E2"/>
    <w:rsid w:val="00EA47D2"/>
    <w:rsid w:val="00EA62E5"/>
    <w:rsid w:val="00EB5D3F"/>
    <w:rsid w:val="00EB671A"/>
    <w:rsid w:val="00EB6AA2"/>
    <w:rsid w:val="00EC16AE"/>
    <w:rsid w:val="00EC36E6"/>
    <w:rsid w:val="00EC60A2"/>
    <w:rsid w:val="00EC60D9"/>
    <w:rsid w:val="00EC6479"/>
    <w:rsid w:val="00EC663E"/>
    <w:rsid w:val="00EC7330"/>
    <w:rsid w:val="00ED3245"/>
    <w:rsid w:val="00ED4E4B"/>
    <w:rsid w:val="00ED5C44"/>
    <w:rsid w:val="00EE24C7"/>
    <w:rsid w:val="00EE3AE1"/>
    <w:rsid w:val="00EE4EB7"/>
    <w:rsid w:val="00EE5841"/>
    <w:rsid w:val="00EF2D74"/>
    <w:rsid w:val="00EF30F6"/>
    <w:rsid w:val="00EF3257"/>
    <w:rsid w:val="00EF388B"/>
    <w:rsid w:val="00EF3C10"/>
    <w:rsid w:val="00EF3C6C"/>
    <w:rsid w:val="00F0054E"/>
    <w:rsid w:val="00F02AA3"/>
    <w:rsid w:val="00F03195"/>
    <w:rsid w:val="00F03E3F"/>
    <w:rsid w:val="00F0526E"/>
    <w:rsid w:val="00F05756"/>
    <w:rsid w:val="00F0605A"/>
    <w:rsid w:val="00F0700B"/>
    <w:rsid w:val="00F072A6"/>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32C4"/>
    <w:rsid w:val="00F34D97"/>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4D4"/>
    <w:rsid w:val="00F6186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8724E"/>
    <w:rsid w:val="00FA422B"/>
    <w:rsid w:val="00FA4283"/>
    <w:rsid w:val="00FA5CA3"/>
    <w:rsid w:val="00FA6701"/>
    <w:rsid w:val="00FB147C"/>
    <w:rsid w:val="00FB22FE"/>
    <w:rsid w:val="00FB50E2"/>
    <w:rsid w:val="00FB5AF7"/>
    <w:rsid w:val="00FB612B"/>
    <w:rsid w:val="00FB7A29"/>
    <w:rsid w:val="00FC22DA"/>
    <w:rsid w:val="00FC253F"/>
    <w:rsid w:val="00FC3927"/>
    <w:rsid w:val="00FC6E5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oleObject" Target="embeddings/oleObject1.bin"/><Relationship Id="rId21" Type="http://schemas.openxmlformats.org/officeDocument/2006/relationships/chart" Target="charts/chart4.xm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hyperlink" Target="http://www.gmd5.org/Water_Bank/"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6.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eader" Target="header3.xml"/><Relationship Id="rId38" Type="http://schemas.openxmlformats.org/officeDocument/2006/relationships/image" Target="media/image11.emf"/><Relationship Id="rId20" Type="http://schemas.openxmlformats.org/officeDocument/2006/relationships/image" Target="media/image9.jpeg"/><Relationship Id="rId4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RSC12YR_provisional_2012073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58799744629"/>
          <c:y val="1.1389108905765479E-5"/>
        </c:manualLayout>
      </c:layout>
      <c:overlay val="0"/>
      <c:spPr>
        <a:noFill/>
        <a:ln w="25408">
          <a:noFill/>
        </a:ln>
      </c:spPr>
    </c:title>
    <c:autoTitleDeleted val="0"/>
    <c:plotArea>
      <c:layout>
        <c:manualLayout>
          <c:layoutTarget val="inner"/>
          <c:xMode val="edge"/>
          <c:yMode val="edge"/>
          <c:x val="9.6248087472478261E-2"/>
          <c:y val="0.15554850607702816"/>
          <c:w val="0.87438895097508962"/>
          <c:h val="0.68434502505368666"/>
        </c:manualLayout>
      </c:layout>
      <c:barChart>
        <c:barDir val="col"/>
        <c:grouping val="clustered"/>
        <c:varyColors val="0"/>
        <c:ser>
          <c:idx val="1"/>
          <c:order val="0"/>
          <c:tx>
            <c:v>Zenith</c:v>
          </c:tx>
          <c:spPr>
            <a:solidFill>
              <a:srgbClr val="FF6600"/>
            </a:solidFill>
            <a:ln w="12704">
              <a:solidFill>
                <a:srgbClr val="000000"/>
              </a:solidFill>
              <a:prstDash val="solid"/>
            </a:ln>
          </c:spPr>
          <c:invertIfNegative val="0"/>
          <c:dLbls>
            <c:dLbl>
              <c:idx val="0"/>
              <c:layout>
                <c:manualLayout>
                  <c:x val="1.087547580206632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0.57954545454545459</c:v>
                </c:pt>
                <c:pt idx="1">
                  <c:v>0.20821917808219181</c:v>
                </c:pt>
                <c:pt idx="2">
                  <c:v>0.11232876712328765</c:v>
                </c:pt>
                <c:pt idx="3">
                  <c:v>0</c:v>
                </c:pt>
                <c:pt idx="4">
                  <c:v>0.36612021857923494</c:v>
                </c:pt>
                <c:pt idx="5">
                  <c:v>0.55890410958904102</c:v>
                </c:pt>
                <c:pt idx="6">
                  <c:v>0.31780821917808222</c:v>
                </c:pt>
                <c:pt idx="7">
                  <c:v>1</c:v>
                </c:pt>
                <c:pt idx="8">
                  <c:v>0.6202185792349727</c:v>
                </c:pt>
                <c:pt idx="9">
                  <c:v>0</c:v>
                </c:pt>
                <c:pt idx="10">
                  <c:v>0.35342465753424657</c:v>
                </c:pt>
                <c:pt idx="11">
                  <c:v>0.22191780821917806</c:v>
                </c:pt>
                <c:pt idx="12">
                  <c:v>0</c:v>
                </c:pt>
                <c:pt idx="13">
                  <c:v>0</c:v>
                </c:pt>
                <c:pt idx="14">
                  <c:v>0</c:v>
                </c:pt>
                <c:pt idx="15">
                  <c:v>0</c:v>
                </c:pt>
                <c:pt idx="16">
                  <c:v>0</c:v>
                </c:pt>
                <c:pt idx="17">
                  <c:v>4.1095890410958957E-2</c:v>
                </c:pt>
                <c:pt idx="18">
                  <c:v>0.17808219178082196</c:v>
                </c:pt>
                <c:pt idx="19">
                  <c:v>0.53972602739726028</c:v>
                </c:pt>
                <c:pt idx="20">
                  <c:v>0.47540983606557374</c:v>
                </c:pt>
                <c:pt idx="21">
                  <c:v>0.35342465753424657</c:v>
                </c:pt>
                <c:pt idx="22">
                  <c:v>0.76712328767123283</c:v>
                </c:pt>
                <c:pt idx="23">
                  <c:v>0.24383561643835616</c:v>
                </c:pt>
                <c:pt idx="24">
                  <c:v>0</c:v>
                </c:pt>
                <c:pt idx="25">
                  <c:v>0</c:v>
                </c:pt>
                <c:pt idx="26">
                  <c:v>0</c:v>
                </c:pt>
                <c:pt idx="27">
                  <c:v>0.51780821917808217</c:v>
                </c:pt>
              </c:numCache>
            </c:numRef>
          </c:val>
        </c:ser>
        <c:dLbls>
          <c:showLegendKey val="0"/>
          <c:showVal val="0"/>
          <c:showCatName val="0"/>
          <c:showSerName val="0"/>
          <c:showPercent val="0"/>
          <c:showBubbleSize val="0"/>
        </c:dLbls>
        <c:gapWidth val="150"/>
        <c:axId val="98633728"/>
        <c:axId val="78818112"/>
      </c:barChart>
      <c:catAx>
        <c:axId val="98633728"/>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4047771052"/>
              <c:y val="0.93530520223433611"/>
            </c:manualLayout>
          </c:layout>
          <c:overlay val="0"/>
        </c:title>
        <c:numFmt formatCode="General" sourceLinked="1"/>
        <c:majorTickMark val="out"/>
        <c:minorTickMark val="none"/>
        <c:tickLblPos val="nextTo"/>
        <c:spPr>
          <a:ln w="3176">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78818112"/>
        <c:crosses val="autoZero"/>
        <c:auto val="1"/>
        <c:lblAlgn val="ctr"/>
        <c:lblOffset val="100"/>
        <c:tickLblSkip val="1"/>
        <c:tickMarkSkip val="1"/>
        <c:noMultiLvlLbl val="0"/>
      </c:catAx>
      <c:valAx>
        <c:axId val="78818112"/>
        <c:scaling>
          <c:orientation val="minMax"/>
          <c:max val="1"/>
        </c:scaling>
        <c:delete val="0"/>
        <c:axPos val="l"/>
        <c:majorGridlines>
          <c:spPr>
            <a:ln w="3176">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5817786290219E-3"/>
              <c:y val="0.38636464820595651"/>
            </c:manualLayout>
          </c:layout>
          <c:overlay val="0"/>
          <c:spPr>
            <a:noFill/>
            <a:ln w="25408">
              <a:noFill/>
            </a:ln>
          </c:spPr>
        </c:title>
        <c:numFmt formatCode="0%" sourceLinked="0"/>
        <c:majorTickMark val="out"/>
        <c:minorTickMark val="none"/>
        <c:tickLblPos val="nextTo"/>
        <c:spPr>
          <a:ln w="3176">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98633728"/>
        <c:crosses val="autoZero"/>
        <c:crossBetween val="between"/>
      </c:valAx>
      <c:spPr>
        <a:solidFill>
          <a:srgbClr val="FFFFFF"/>
        </a:solidFill>
        <a:ln w="12704">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12"/>
          <c:y val="9.8040140192056837E-3"/>
        </c:manualLayout>
      </c:layout>
      <c:overlay val="0"/>
    </c:title>
    <c:autoTitleDeleted val="0"/>
    <c:plotArea>
      <c:layout>
        <c:manualLayout>
          <c:layoutTarget val="inner"/>
          <c:xMode val="edge"/>
          <c:yMode val="edge"/>
          <c:x val="0.10259212598425196"/>
          <c:y val="8.4158561062220166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872E-5"/>
                  <c:y val="-3.7625146254308572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39.299999999999997</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3.87</c:v>
                </c:pt>
                <c:pt idx="33">
                  <c:v>38.5</c:v>
                </c:pt>
                <c:pt idx="34">
                  <c:v>8.06</c:v>
                </c:pt>
                <c:pt idx="35">
                  <c:v>24.3</c:v>
                </c:pt>
                <c:pt idx="36">
                  <c:v>28.9</c:v>
                </c:pt>
                <c:pt idx="37">
                  <c:v>30.3</c:v>
                </c:pt>
                <c:pt idx="38">
                  <c:v>28.5</c:v>
                </c:pt>
                <c:pt idx="39">
                  <c:v>20.6</c:v>
                </c:pt>
                <c:pt idx="40">
                  <c:v>19.600000000000001</c:v>
                </c:pt>
                <c:pt idx="41">
                  <c:v>14.1</c:v>
                </c:pt>
                <c:pt idx="42">
                  <c:v>4.01</c:v>
                </c:pt>
                <c:pt idx="43">
                  <c:v>2.78</c:v>
                </c:pt>
                <c:pt idx="44">
                  <c:v>0.219</c:v>
                </c:pt>
                <c:pt idx="45">
                  <c:v>2.87</c:v>
                </c:pt>
                <c:pt idx="46">
                  <c:v>1.18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99873792"/>
        <c:axId val="99926592"/>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27.787500000000001</c:v>
                </c:pt>
                <c:pt idx="3">
                  <c:v>20.585000000000001</c:v>
                </c:pt>
                <c:pt idx="4">
                  <c:v>18.146666666666665</c:v>
                </c:pt>
                <c:pt idx="5">
                  <c:v>25.533333333333331</c:v>
                </c:pt>
                <c:pt idx="6">
                  <c:v>13.307499999999999</c:v>
                </c:pt>
                <c:pt idx="7">
                  <c:v>21.112499999999997</c:v>
                </c:pt>
                <c:pt idx="8">
                  <c:v>23.717500000000001</c:v>
                </c:pt>
                <c:pt idx="9">
                  <c:v>30.7075</c:v>
                </c:pt>
                <c:pt idx="10">
                  <c:v>16.619999999999997</c:v>
                </c:pt>
                <c:pt idx="11">
                  <c:v>27.7575</c:v>
                </c:pt>
                <c:pt idx="12">
                  <c:v>25.5075</c:v>
                </c:pt>
                <c:pt idx="13">
                  <c:v>42.042500000000004</c:v>
                </c:pt>
                <c:pt idx="14">
                  <c:v>20.552499999999998</c:v>
                </c:pt>
                <c:pt idx="15">
                  <c:v>23.517500000000002</c:v>
                </c:pt>
                <c:pt idx="16">
                  <c:v>21.675000000000001</c:v>
                </c:pt>
                <c:pt idx="17">
                  <c:v>29.267499999999998</c:v>
                </c:pt>
                <c:pt idx="18">
                  <c:v>21.292500000000004</c:v>
                </c:pt>
                <c:pt idx="19">
                  <c:v>25.496666666666666</c:v>
                </c:pt>
                <c:pt idx="20">
                  <c:v>19.576666666666668</c:v>
                </c:pt>
                <c:pt idx="21">
                  <c:v>29.534999999999997</c:v>
                </c:pt>
                <c:pt idx="22">
                  <c:v>19.344999999999999</c:v>
                </c:pt>
                <c:pt idx="23">
                  <c:v>21.484999999999996</c:v>
                </c:pt>
                <c:pt idx="24">
                  <c:v>22.522500000000001</c:v>
                </c:pt>
                <c:pt idx="25">
                  <c:v>27.897500000000001</c:v>
                </c:pt>
                <c:pt idx="26">
                  <c:v>27.022500000000001</c:v>
                </c:pt>
                <c:pt idx="27">
                  <c:v>31.182500000000001</c:v>
                </c:pt>
                <c:pt idx="28">
                  <c:v>14.875</c:v>
                </c:pt>
                <c:pt idx="29">
                  <c:v>26.015000000000001</c:v>
                </c:pt>
                <c:pt idx="30">
                  <c:v>22.105</c:v>
                </c:pt>
                <c:pt idx="31">
                  <c:v>17.815000000000001</c:v>
                </c:pt>
                <c:pt idx="32">
                  <c:v>30.2075</c:v>
                </c:pt>
                <c:pt idx="33">
                  <c:v>32.522500000000001</c:v>
                </c:pt>
                <c:pt idx="34">
                  <c:v>19.740000000000002</c:v>
                </c:pt>
                <c:pt idx="35">
                  <c:v>26.662500000000005</c:v>
                </c:pt>
                <c:pt idx="36">
                  <c:v>31.672499999999999</c:v>
                </c:pt>
                <c:pt idx="37">
                  <c:v>33.215000000000003</c:v>
                </c:pt>
                <c:pt idx="38">
                  <c:v>23.459999999999997</c:v>
                </c:pt>
                <c:pt idx="39">
                  <c:v>23.797499999999999</c:v>
                </c:pt>
                <c:pt idx="40">
                  <c:v>30.207500000000003</c:v>
                </c:pt>
                <c:pt idx="41">
                  <c:v>20.120000000000005</c:v>
                </c:pt>
                <c:pt idx="42">
                  <c:v>23.254999999999999</c:v>
                </c:pt>
                <c:pt idx="43">
                  <c:v>21.004999999999999</c:v>
                </c:pt>
                <c:pt idx="44">
                  <c:v>26.527500000000003</c:v>
                </c:pt>
                <c:pt idx="45">
                  <c:v>26.577500000000001</c:v>
                </c:pt>
                <c:pt idx="46">
                  <c:v>24.487500000000004</c:v>
                </c:pt>
                <c:pt idx="47">
                  <c:v>36.07</c:v>
                </c:pt>
                <c:pt idx="48">
                  <c:v>27.369999999999997</c:v>
                </c:pt>
                <c:pt idx="49">
                  <c:v>23.4725</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99874816"/>
        <c:axId val="99927168"/>
      </c:lineChart>
      <c:catAx>
        <c:axId val="9987379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99926592"/>
        <c:crosses val="autoZero"/>
        <c:auto val="1"/>
        <c:lblAlgn val="ctr"/>
        <c:lblOffset val="100"/>
        <c:noMultiLvlLbl val="0"/>
      </c:catAx>
      <c:valAx>
        <c:axId val="99926592"/>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72"/>
            </c:manualLayout>
          </c:layout>
          <c:overlay val="0"/>
        </c:title>
        <c:numFmt formatCode="General" sourceLinked="1"/>
        <c:majorTickMark val="out"/>
        <c:minorTickMark val="none"/>
        <c:tickLblPos val="nextTo"/>
        <c:crossAx val="99873792"/>
        <c:crosses val="autoZero"/>
        <c:crossBetween val="between"/>
        <c:majorUnit val="25"/>
      </c:valAx>
      <c:catAx>
        <c:axId val="99874816"/>
        <c:scaling>
          <c:orientation val="minMax"/>
        </c:scaling>
        <c:delete val="1"/>
        <c:axPos val="b"/>
        <c:numFmt formatCode="General" sourceLinked="1"/>
        <c:majorTickMark val="out"/>
        <c:minorTickMark val="none"/>
        <c:tickLblPos val="nextTo"/>
        <c:crossAx val="99927168"/>
        <c:crosses val="autoZero"/>
        <c:auto val="1"/>
        <c:lblAlgn val="ctr"/>
        <c:lblOffset val="100"/>
        <c:noMultiLvlLbl val="0"/>
      </c:catAx>
      <c:valAx>
        <c:axId val="99927168"/>
        <c:scaling>
          <c:orientation val="minMax"/>
        </c:scaling>
        <c:delete val="0"/>
        <c:axPos val="r"/>
        <c:title>
          <c:tx>
            <c:rich>
              <a:bodyPr rot="-5400000" vert="horz"/>
              <a:lstStyle/>
              <a:p>
                <a:pPr>
                  <a:defRPr/>
                </a:pPr>
                <a:r>
                  <a:rPr lang="en-US"/>
                  <a:t>Inches of Precipitation</a:t>
                </a:r>
              </a:p>
            </c:rich>
          </c:tx>
          <c:layout>
            <c:manualLayout>
              <c:xMode val="edge"/>
              <c:yMode val="edge"/>
              <c:x val="0.95301472614792293"/>
              <c:y val="0.26507195582588106"/>
            </c:manualLayout>
          </c:layout>
          <c:overlay val="0"/>
        </c:title>
        <c:numFmt formatCode="0" sourceLinked="0"/>
        <c:majorTickMark val="out"/>
        <c:minorTickMark val="none"/>
        <c:tickLblPos val="nextTo"/>
        <c:crossAx val="99874816"/>
        <c:crosses val="max"/>
        <c:crossBetween val="between"/>
      </c:valAx>
    </c:plotArea>
    <c:legend>
      <c:legendPos val="b"/>
      <c:layout>
        <c:manualLayout>
          <c:xMode val="edge"/>
          <c:yMode val="edge"/>
          <c:x val="7.4864801835150249E-2"/>
          <c:y val="0.82599001472121381"/>
          <c:w val="0.85121188607482223"/>
          <c:h val="8.4499347761170629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Average Water Level Change per Year</a:t>
            </a:r>
          </a:p>
        </c:rich>
      </c:tx>
      <c:layout>
        <c:manualLayout>
          <c:xMode val="edge"/>
          <c:yMode val="edge"/>
          <c:x val="0.30124299827547024"/>
          <c:y val="9.9700259361071002E-3"/>
        </c:manualLayout>
      </c:layout>
      <c:overlay val="1"/>
    </c:title>
    <c:autoTitleDeleted val="0"/>
    <c:plotArea>
      <c:layout>
        <c:manualLayout>
          <c:layoutTarget val="inner"/>
          <c:xMode val="edge"/>
          <c:yMode val="edge"/>
          <c:x val="0.10683081136597056"/>
          <c:y val="9.916895491989608E-2"/>
          <c:w val="0.86070542051809307"/>
          <c:h val="0.7025062282919019"/>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-1.260714285714285</c:v>
                </c:pt>
                <c:pt idx="2">
                  <c:v>0.77285714285714291</c:v>
                </c:pt>
                <c:pt idx="3">
                  <c:v>-1.260714285714285</c:v>
                </c:pt>
                <c:pt idx="4">
                  <c:v>0.77285714285714291</c:v>
                </c:pt>
                <c:pt idx="5">
                  <c:v>0.90642857142857081</c:v>
                </c:pt>
                <c:pt idx="6">
                  <c:v>-0.97857142857142798</c:v>
                </c:pt>
                <c:pt idx="7">
                  <c:v>3.0042857142857149</c:v>
                </c:pt>
                <c:pt idx="8">
                  <c:v>-1.4285714285714299E-2</c:v>
                </c:pt>
                <c:pt idx="9">
                  <c:v>0.68714285714285694</c:v>
                </c:pt>
                <c:pt idx="10">
                  <c:v>-0.4778571428571427</c:v>
                </c:pt>
                <c:pt idx="11">
                  <c:v>-2.4123076923076927</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0.62000000000000099</c:v>
                </c:pt>
                <c:pt idx="2">
                  <c:v>-2.3924999999999992</c:v>
                </c:pt>
                <c:pt idx="3">
                  <c:v>-1.9333333333333336</c:v>
                </c:pt>
                <c:pt idx="4">
                  <c:v>0.35000000000000142</c:v>
                </c:pt>
                <c:pt idx="5">
                  <c:v>-0.3433333333333361</c:v>
                </c:pt>
                <c:pt idx="6">
                  <c:v>-0.72666666666666657</c:v>
                </c:pt>
                <c:pt idx="7">
                  <c:v>5.3733333333333348</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0.33000000000000007</c:v>
                </c:pt>
                <c:pt idx="1">
                  <c:v>-1.5220000000000002</c:v>
                </c:pt>
                <c:pt idx="2">
                  <c:v>-1.0277777777777777</c:v>
                </c:pt>
                <c:pt idx="3">
                  <c:v>-1.5844444444444443</c:v>
                </c:pt>
                <c:pt idx="4">
                  <c:v>0.98888888888888915</c:v>
                </c:pt>
                <c:pt idx="5">
                  <c:v>0.75666666666666582</c:v>
                </c:pt>
                <c:pt idx="6">
                  <c:v>-2.1288888888888886</c:v>
                </c:pt>
                <c:pt idx="7">
                  <c:v>4.391111111111111</c:v>
                </c:pt>
                <c:pt idx="8">
                  <c:v>0.22333333333333372</c:v>
                </c:pt>
                <c:pt idx="9">
                  <c:v>0.44111111111111101</c:v>
                </c:pt>
                <c:pt idx="10">
                  <c:v>-0.24000000000000002</c:v>
                </c:pt>
                <c:pt idx="11">
                  <c:v>-3.4662500000000005</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-0.1537499999999998</c:v>
                </c:pt>
                <c:pt idx="1">
                  <c:v>-0.44800000000000012</c:v>
                </c:pt>
                <c:pt idx="2">
                  <c:v>-0.73699999999999977</c:v>
                </c:pt>
                <c:pt idx="3">
                  <c:v>-0.7649999999999999</c:v>
                </c:pt>
                <c:pt idx="4">
                  <c:v>1.1799999999999997</c:v>
                </c:pt>
                <c:pt idx="5">
                  <c:v>-0.27777777777777757</c:v>
                </c:pt>
                <c:pt idx="6">
                  <c:v>-0.67400000000000015</c:v>
                </c:pt>
                <c:pt idx="7">
                  <c:v>2.8449999999999998</c:v>
                </c:pt>
                <c:pt idx="8">
                  <c:v>0.70100000000000018</c:v>
                </c:pt>
                <c:pt idx="9">
                  <c:v>0.28300000000000003</c:v>
                </c:pt>
                <c:pt idx="10">
                  <c:v>-0.91400000000000059</c:v>
                </c:pt>
                <c:pt idx="11">
                  <c:v>-2.7639999999999998</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-0.39874999999999972</c:v>
                </c:pt>
                <c:pt idx="1">
                  <c:v>-1.6036363636363631</c:v>
                </c:pt>
                <c:pt idx="2">
                  <c:v>-2.7100000000000009</c:v>
                </c:pt>
                <c:pt idx="3">
                  <c:v>-2.0390909090909086</c:v>
                </c:pt>
                <c:pt idx="4">
                  <c:v>-1.0927272727272734</c:v>
                </c:pt>
                <c:pt idx="5">
                  <c:v>-0.31636363636363624</c:v>
                </c:pt>
                <c:pt idx="6">
                  <c:v>-2.2036363636363636</c:v>
                </c:pt>
                <c:pt idx="7">
                  <c:v>5.1709090909090909</c:v>
                </c:pt>
                <c:pt idx="8">
                  <c:v>0.44727272727272693</c:v>
                </c:pt>
                <c:pt idx="9">
                  <c:v>0.89363636363636378</c:v>
                </c:pt>
                <c:pt idx="10">
                  <c:v>-3.2727272727272758E-2</c:v>
                </c:pt>
                <c:pt idx="11">
                  <c:v>-4.002727272727272</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-6.8478260869565266E-2</c:v>
                </c:pt>
                <c:pt idx="1">
                  <c:v>-1.5387234042553195</c:v>
                </c:pt>
                <c:pt idx="2">
                  <c:v>-2.0556521739130433</c:v>
                </c:pt>
                <c:pt idx="3">
                  <c:v>-1.5897916666666667</c:v>
                </c:pt>
                <c:pt idx="4">
                  <c:v>-0.36104166666666676</c:v>
                </c:pt>
                <c:pt idx="5">
                  <c:v>-0.25416666666666671</c:v>
                </c:pt>
                <c:pt idx="6">
                  <c:v>-1.9019148936170218</c:v>
                </c:pt>
                <c:pt idx="7">
                  <c:v>3.2853061224489788</c:v>
                </c:pt>
                <c:pt idx="8">
                  <c:v>0.38857142857142907</c:v>
                </c:pt>
                <c:pt idx="9">
                  <c:v>0.11895833333333326</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c:v>
                </c:pt>
                <c:pt idx="1">
                  <c:v>-0.37333333333333202</c:v>
                </c:pt>
                <c:pt idx="2">
                  <c:v>-1.9700000000000006</c:v>
                </c:pt>
                <c:pt idx="3">
                  <c:v>-1.3532</c:v>
                </c:pt>
                <c:pt idx="4">
                  <c:v>-2.7692307692307374E-2</c:v>
                </c:pt>
                <c:pt idx="5">
                  <c:v>-0.8415384615384609</c:v>
                </c:pt>
                <c:pt idx="6">
                  <c:v>-1.1750000000000016</c:v>
                </c:pt>
                <c:pt idx="7">
                  <c:v>1.4499999999999991</c:v>
                </c:pt>
                <c:pt idx="8">
                  <c:v>0.14423076923077024</c:v>
                </c:pt>
                <c:pt idx="9">
                  <c:v>0.56592592592592639</c:v>
                </c:pt>
                <c:pt idx="10">
                  <c:v>-0.27481481481481534</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-0.93588235294117639</c:v>
                </c:pt>
                <c:pt idx="1">
                  <c:v>-0.99705882352941189</c:v>
                </c:pt>
                <c:pt idx="2">
                  <c:v>-0.70823529411764685</c:v>
                </c:pt>
                <c:pt idx="3">
                  <c:v>-0.76705882352941179</c:v>
                </c:pt>
                <c:pt idx="4">
                  <c:v>0.87687500000000018</c:v>
                </c:pt>
                <c:pt idx="5">
                  <c:v>0.45812499999999989</c:v>
                </c:pt>
                <c:pt idx="6">
                  <c:v>-2.0823529411764707</c:v>
                </c:pt>
                <c:pt idx="7">
                  <c:v>4.7281250000000004</c:v>
                </c:pt>
                <c:pt idx="8">
                  <c:v>1.3947058823529412</c:v>
                </c:pt>
                <c:pt idx="9">
                  <c:v>0.9622222222222222</c:v>
                </c:pt>
                <c:pt idx="10">
                  <c:v>-2.2727777777777778</c:v>
                </c:pt>
                <c:pt idx="11">
                  <c:v>-3.7420000000000004</c:v>
                </c:pt>
              </c:numCache>
            </c:numRef>
          </c:val>
        </c:ser>
        <c:dLbls>
          <c:showLegendKey val="0"/>
          <c:showVal val="0"/>
          <c:showCatName val="0"/>
          <c:showSerName val="0"/>
          <c:showPercent val="0"/>
          <c:showBubbleSize val="0"/>
        </c:dLbls>
        <c:gapWidth val="150"/>
        <c:axId val="98334720"/>
        <c:axId val="78816960"/>
      </c:barChart>
      <c:catAx>
        <c:axId val="98334720"/>
        <c:scaling>
          <c:orientation val="minMax"/>
        </c:scaling>
        <c:delete val="0"/>
        <c:axPos val="b"/>
        <c:majorGridlines/>
        <c:numFmt formatCode="General" sourceLinked="1"/>
        <c:majorTickMark val="out"/>
        <c:minorTickMark val="none"/>
        <c:tickLblPos val="low"/>
        <c:spPr>
          <a:ln>
            <a:solidFill>
              <a:schemeClr val="tx1"/>
            </a:solidFill>
          </a:ln>
        </c:spPr>
        <c:crossAx val="78816960"/>
        <c:crosses val="autoZero"/>
        <c:auto val="1"/>
        <c:lblAlgn val="ctr"/>
        <c:lblOffset val="100"/>
        <c:noMultiLvlLbl val="0"/>
      </c:catAx>
      <c:valAx>
        <c:axId val="78816960"/>
        <c:scaling>
          <c:orientation val="minMax"/>
          <c:max val="6"/>
          <c:min val="-4"/>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Water Level Change (ft)</a:t>
                </a:r>
              </a:p>
            </c:rich>
          </c:tx>
          <c:layout/>
          <c:overlay val="0"/>
        </c:title>
        <c:numFmt formatCode="0.00" sourceLinked="1"/>
        <c:majorTickMark val="out"/>
        <c:minorTickMark val="none"/>
        <c:tickLblPos val="low"/>
        <c:crossAx val="98334720"/>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overlay val="0"/>
    </c:title>
    <c:autoTitleDeleted val="0"/>
    <c:plotArea>
      <c:layout>
        <c:manualLayout>
          <c:layoutTarget val="inner"/>
          <c:xMode val="edge"/>
          <c:yMode val="edge"/>
          <c:x val="8.6505515481893419E-2"/>
          <c:y val="0.13419996362617326"/>
          <c:w val="0.88785345887708089"/>
          <c:h val="0.74504352563449494"/>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-2.1885714285714282</c:v>
                </c:pt>
                <c:pt idx="2">
                  <c:v>-1.4157142857142853</c:v>
                </c:pt>
                <c:pt idx="3">
                  <c:v>-2.6764285714285703</c:v>
                </c:pt>
                <c:pt idx="4">
                  <c:v>-1.9035714285714274</c:v>
                </c:pt>
                <c:pt idx="5">
                  <c:v>-0.99714285714285655</c:v>
                </c:pt>
                <c:pt idx="6">
                  <c:v>-1.9757142857142846</c:v>
                </c:pt>
                <c:pt idx="7">
                  <c:v>1.0285714285714302</c:v>
                </c:pt>
                <c:pt idx="8">
                  <c:v>1.014285714285716</c:v>
                </c:pt>
                <c:pt idx="9">
                  <c:v>1.7014285714285728</c:v>
                </c:pt>
                <c:pt idx="10">
                  <c:v>1.2235714285714301</c:v>
                </c:pt>
                <c:pt idx="11">
                  <c:v>-1.1887362637362626</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0.38333333333333164</c:v>
                </c:pt>
                <c:pt idx="2">
                  <c:v>-2.0091666666666677</c:v>
                </c:pt>
                <c:pt idx="3">
                  <c:v>-3.9425000000000012</c:v>
                </c:pt>
                <c:pt idx="4">
                  <c:v>-3.5924999999999998</c:v>
                </c:pt>
                <c:pt idx="5">
                  <c:v>-3.9358333333333357</c:v>
                </c:pt>
                <c:pt idx="6">
                  <c:v>-4.6625000000000023</c:v>
                </c:pt>
                <c:pt idx="7">
                  <c:v>0.71083333333333254</c:v>
                </c:pt>
                <c:pt idx="8">
                  <c:v>1.8458333333333323</c:v>
                </c:pt>
                <c:pt idx="9">
                  <c:v>3.5233333333333334</c:v>
                </c:pt>
                <c:pt idx="10">
                  <c:v>3.0199999999999982</c:v>
                </c:pt>
                <c:pt idx="11">
                  <c:v>-0.60000000000000053</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0.33000000000000007</c:v>
                </c:pt>
                <c:pt idx="1">
                  <c:v>-1.1920000000000002</c:v>
                </c:pt>
                <c:pt idx="2">
                  <c:v>-2.2197777777777778</c:v>
                </c:pt>
                <c:pt idx="3">
                  <c:v>-3.8042222222222222</c:v>
                </c:pt>
                <c:pt idx="4">
                  <c:v>-2.8153333333333332</c:v>
                </c:pt>
                <c:pt idx="5">
                  <c:v>-2.0586666666666673</c:v>
                </c:pt>
                <c:pt idx="6">
                  <c:v>-4.1875555555555559</c:v>
                </c:pt>
                <c:pt idx="7">
                  <c:v>0.20355555555555505</c:v>
                </c:pt>
                <c:pt idx="8">
                  <c:v>0.42688888888888876</c:v>
                </c:pt>
                <c:pt idx="9">
                  <c:v>0.86799999999999977</c:v>
                </c:pt>
                <c:pt idx="10">
                  <c:v>0.62799999999999978</c:v>
                </c:pt>
                <c:pt idx="11">
                  <c:v>-2.8382500000000008</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-0.1537499999999998</c:v>
                </c:pt>
                <c:pt idx="1">
                  <c:v>-0.6017499999999999</c:v>
                </c:pt>
                <c:pt idx="2">
                  <c:v>-1.3387499999999997</c:v>
                </c:pt>
                <c:pt idx="3">
                  <c:v>-2.1037499999999998</c:v>
                </c:pt>
                <c:pt idx="4">
                  <c:v>-0.92375000000000007</c:v>
                </c:pt>
                <c:pt idx="5">
                  <c:v>-1.2015277777777778</c:v>
                </c:pt>
                <c:pt idx="6">
                  <c:v>-1.8755277777777779</c:v>
                </c:pt>
                <c:pt idx="7">
                  <c:v>0.96947222222222185</c:v>
                </c:pt>
                <c:pt idx="8">
                  <c:v>1.6704722222222221</c:v>
                </c:pt>
                <c:pt idx="9">
                  <c:v>1.9534722222222221</c:v>
                </c:pt>
                <c:pt idx="10">
                  <c:v>1.0394722222222215</c:v>
                </c:pt>
                <c:pt idx="11">
                  <c:v>-1.7245277777777783</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-0.39874999999999972</c:v>
                </c:pt>
                <c:pt idx="1">
                  <c:v>-2.0023863636363628</c:v>
                </c:pt>
                <c:pt idx="2">
                  <c:v>-4.7123863636363641</c:v>
                </c:pt>
                <c:pt idx="3">
                  <c:v>-6.7514772727272732</c:v>
                </c:pt>
                <c:pt idx="4">
                  <c:v>-7.8442045454545468</c:v>
                </c:pt>
                <c:pt idx="5">
                  <c:v>-8.1605681818181832</c:v>
                </c:pt>
                <c:pt idx="6">
                  <c:v>-10.364204545454546</c:v>
                </c:pt>
                <c:pt idx="7">
                  <c:v>-5.1932954545454555</c:v>
                </c:pt>
                <c:pt idx="8">
                  <c:v>-4.7460227272727282</c:v>
                </c:pt>
                <c:pt idx="9">
                  <c:v>-3.8523863636363647</c:v>
                </c:pt>
                <c:pt idx="10">
                  <c:v>-3.8851136363636374</c:v>
                </c:pt>
                <c:pt idx="11">
                  <c:v>-7.8878409090909098</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-6.8478260869565266E-2</c:v>
                </c:pt>
                <c:pt idx="1">
                  <c:v>-1.6072016651248848</c:v>
                </c:pt>
                <c:pt idx="2">
                  <c:v>-3.6628538390379282</c:v>
                </c:pt>
                <c:pt idx="3">
                  <c:v>-5.2526455057045949</c:v>
                </c:pt>
                <c:pt idx="4">
                  <c:v>-5.6136871723712618</c:v>
                </c:pt>
                <c:pt idx="5">
                  <c:v>-5.8678538390379282</c:v>
                </c:pt>
                <c:pt idx="6">
                  <c:v>-7.76976873265495</c:v>
                </c:pt>
                <c:pt idx="7">
                  <c:v>-4.4844626102059717</c:v>
                </c:pt>
                <c:pt idx="8">
                  <c:v>-4.0958911816345429</c:v>
                </c:pt>
                <c:pt idx="9">
                  <c:v>-3.9769328483012099</c:v>
                </c:pt>
                <c:pt idx="10">
                  <c:v>-3.7409328483012096</c:v>
                </c:pt>
                <c:pt idx="11">
                  <c:v>-6.4509328483012105</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c:v>
                </c:pt>
                <c:pt idx="1">
                  <c:v>-0.26499999999999924</c:v>
                </c:pt>
                <c:pt idx="2">
                  <c:v>-2.2349999999999999</c:v>
                </c:pt>
                <c:pt idx="3">
                  <c:v>-3.5881999999999996</c:v>
                </c:pt>
                <c:pt idx="4">
                  <c:v>-3.6158923076923069</c:v>
                </c:pt>
                <c:pt idx="5">
                  <c:v>-4.4574307692307675</c:v>
                </c:pt>
                <c:pt idx="6">
                  <c:v>-5.6324307692307691</c:v>
                </c:pt>
                <c:pt idx="7">
                  <c:v>-4.1824307692307698</c:v>
                </c:pt>
                <c:pt idx="8">
                  <c:v>-4.0381999999999998</c:v>
                </c:pt>
                <c:pt idx="9">
                  <c:v>-3.4722740740740736</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-0.93588235294117639</c:v>
                </c:pt>
                <c:pt idx="1">
                  <c:v>-1.9329411764705884</c:v>
                </c:pt>
                <c:pt idx="2">
                  <c:v>-2.6411764705882352</c:v>
                </c:pt>
                <c:pt idx="3">
                  <c:v>-3.408235294117647</c:v>
                </c:pt>
                <c:pt idx="4">
                  <c:v>-2.531360294117647</c:v>
                </c:pt>
                <c:pt idx="5">
                  <c:v>-2.0732352941176471</c:v>
                </c:pt>
                <c:pt idx="6">
                  <c:v>-4.1555882352941182</c:v>
                </c:pt>
                <c:pt idx="7">
                  <c:v>0.57253676470588211</c:v>
                </c:pt>
                <c:pt idx="8">
                  <c:v>1.9672426470588233</c:v>
                </c:pt>
                <c:pt idx="9">
                  <c:v>2.9294648692810457</c:v>
                </c:pt>
                <c:pt idx="10">
                  <c:v>0.65668709150326787</c:v>
                </c:pt>
                <c:pt idx="11">
                  <c:v>-3.0853129084967326</c:v>
                </c:pt>
              </c:numCache>
            </c:numRef>
          </c:val>
          <c:smooth val="0"/>
        </c:ser>
        <c:dLbls>
          <c:showLegendKey val="0"/>
          <c:showVal val="0"/>
          <c:showCatName val="0"/>
          <c:showSerName val="0"/>
          <c:showPercent val="0"/>
          <c:showBubbleSize val="0"/>
        </c:dLbls>
        <c:marker val="1"/>
        <c:smooth val="0"/>
        <c:axId val="98632704"/>
        <c:axId val="78820992"/>
      </c:lineChart>
      <c:catAx>
        <c:axId val="9863270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8820992"/>
        <c:crosses val="autoZero"/>
        <c:auto val="1"/>
        <c:lblAlgn val="ctr"/>
        <c:lblOffset val="100"/>
        <c:noMultiLvlLbl val="0"/>
      </c:catAx>
      <c:valAx>
        <c:axId val="78820992"/>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6E-2"/>
              <c:y val="0.25842495925509862"/>
            </c:manualLayout>
          </c:layout>
          <c:overlay val="0"/>
        </c:title>
        <c:numFmt formatCode="0" sourceLinked="0"/>
        <c:majorTickMark val="out"/>
        <c:minorTickMark val="none"/>
        <c:tickLblPos val="nextTo"/>
        <c:crossAx val="98632704"/>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Stream Corridor Area</a:t>
            </a:r>
          </a:p>
          <a:p>
            <a:pPr>
              <a:defRPr/>
            </a:pPr>
            <a:r>
              <a:rPr lang="en-US"/>
              <a:t>Average Annual Groundwater Use</a:t>
            </a:r>
          </a:p>
        </c:rich>
      </c:tx>
      <c:overlay val="0"/>
    </c:title>
    <c:autoTitleDeleted val="0"/>
    <c:plotArea>
      <c:layout>
        <c:manualLayout>
          <c:layoutTarget val="inner"/>
          <c:xMode val="edge"/>
          <c:yMode val="edge"/>
          <c:x val="0.13796184432169861"/>
          <c:y val="0.14704101605943329"/>
          <c:w val="0.84014760841461988"/>
          <c:h val="0.67036367276124387"/>
        </c:manualLayout>
      </c:layout>
      <c:barChart>
        <c:barDir val="col"/>
        <c:grouping val="clustered"/>
        <c:varyColors val="0"/>
        <c:ser>
          <c:idx val="2"/>
          <c:order val="1"/>
          <c:tx>
            <c:v>Actual 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23128.67</c:v>
                </c:pt>
                <c:pt idx="1">
                  <c:v>23578.010000000002</c:v>
                </c:pt>
                <c:pt idx="2">
                  <c:v>40125.289999999994</c:v>
                </c:pt>
                <c:pt idx="3">
                  <c:v>32383.19</c:v>
                </c:pt>
                <c:pt idx="4">
                  <c:v>23868.510000000002</c:v>
                </c:pt>
                <c:pt idx="5">
                  <c:v>22068.1</c:v>
                </c:pt>
                <c:pt idx="6">
                  <c:v>31963.96</c:v>
                </c:pt>
                <c:pt idx="7">
                  <c:v>29705.86</c:v>
                </c:pt>
                <c:pt idx="8">
                  <c:v>33941.08</c:v>
                </c:pt>
                <c:pt idx="9">
                  <c:v>37542.339999999997</c:v>
                </c:pt>
                <c:pt idx="10">
                  <c:v>36455.24</c:v>
                </c:pt>
                <c:pt idx="11">
                  <c:v>37098.07</c:v>
                </c:pt>
                <c:pt idx="12">
                  <c:v>26095.919999999998</c:v>
                </c:pt>
                <c:pt idx="13">
                  <c:v>29293.82</c:v>
                </c:pt>
                <c:pt idx="14">
                  <c:v>34411.300000000003</c:v>
                </c:pt>
                <c:pt idx="15">
                  <c:v>23535.85</c:v>
                </c:pt>
                <c:pt idx="16">
                  <c:v>28571.599999999999</c:v>
                </c:pt>
                <c:pt idx="17">
                  <c:v>27354.49</c:v>
                </c:pt>
                <c:pt idx="18">
                  <c:v>33094.39</c:v>
                </c:pt>
                <c:pt idx="19">
                  <c:v>43956.54</c:v>
                </c:pt>
              </c:numCache>
            </c:numRef>
          </c:val>
        </c:ser>
        <c:dLbls>
          <c:showLegendKey val="0"/>
          <c:showVal val="0"/>
          <c:showCatName val="0"/>
          <c:showSerName val="0"/>
          <c:showPercent val="0"/>
          <c:showBubbleSize val="0"/>
        </c:dLbls>
        <c:gapWidth val="0"/>
        <c:axId val="98634240"/>
        <c:axId val="78822144"/>
      </c:barChart>
      <c:lineChart>
        <c:grouping val="standard"/>
        <c:varyColors val="0"/>
        <c:ser>
          <c:idx val="1"/>
          <c:order val="0"/>
          <c:tx>
            <c:v>10-Yr Rolling Avg</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26E-2"/>
                  <c:y val="-0.10571311001379065"/>
                </c:manualLayout>
              </c:layout>
              <c:dLblPos val="r"/>
              <c:showLegendKey val="0"/>
              <c:showVal val="1"/>
              <c:showCatName val="0"/>
              <c:showSerName val="0"/>
              <c:showPercent val="0"/>
              <c:showBubbleSize val="0"/>
            </c:dLbl>
            <c:dLbl>
              <c:idx val="5"/>
              <c:layout>
                <c:manualLayout>
                  <c:x val="-2.8064715791123126E-2"/>
                  <c:y val="-0.1085379687708528"/>
                </c:manualLayout>
              </c:layout>
              <c:dLblPos val="r"/>
              <c:showLegendKey val="0"/>
              <c:showVal val="1"/>
              <c:showCatName val="0"/>
              <c:showSerName val="0"/>
              <c:showPercent val="0"/>
              <c:showBubbleSize val="0"/>
            </c:dLbl>
            <c:dLbl>
              <c:idx val="6"/>
              <c:layout>
                <c:manualLayout>
                  <c:x val="-2.8064715791123126E-2"/>
                  <c:y val="-8.8763957471417743E-2"/>
                </c:manualLayout>
              </c:layout>
              <c:dLblPos val="r"/>
              <c:showLegendKey val="0"/>
              <c:showVal val="1"/>
              <c:showCatName val="0"/>
              <c:showSerName val="0"/>
              <c:showPercent val="0"/>
              <c:showBubbleSize val="0"/>
            </c:dLbl>
            <c:dLbl>
              <c:idx val="7"/>
              <c:layout>
                <c:manualLayout>
                  <c:x val="-2.8064715791123126E-2"/>
                  <c:y val="-8.0289381200231325E-2"/>
                </c:manualLayout>
              </c:layout>
              <c:dLblPos val="r"/>
              <c:showLegendKey val="0"/>
              <c:showVal val="1"/>
              <c:showCatName val="0"/>
              <c:showSerName val="0"/>
              <c:showPercent val="0"/>
              <c:showBubbleSize val="0"/>
            </c:dLbl>
            <c:dLbl>
              <c:idx val="8"/>
              <c:layout>
                <c:manualLayout>
                  <c:x val="-2.8064715791123126E-2"/>
                  <c:y val="-7.7464522443169176E-2"/>
                </c:manualLayout>
              </c:layout>
              <c:dLblPos val="r"/>
              <c:showLegendKey val="0"/>
              <c:showVal val="1"/>
              <c:showCatName val="0"/>
              <c:showSerName val="0"/>
              <c:showPercent val="0"/>
              <c:showBubbleSize val="0"/>
            </c:dLbl>
            <c:dLbl>
              <c:idx val="9"/>
              <c:layout>
                <c:manualLayout>
                  <c:x val="-2.8064715791123126E-2"/>
                  <c:y val="-7.7464522443169176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1814804929044893E-2"/>
                </c:manualLayout>
              </c:layout>
              <c:dLblPos val="r"/>
              <c:showLegendKey val="0"/>
              <c:showVal val="1"/>
              <c:showCatName val="0"/>
              <c:showSerName val="0"/>
              <c:showPercent val="0"/>
              <c:showBubbleSize val="0"/>
            </c:dLbl>
            <c:dLbl>
              <c:idx val="14"/>
              <c:layout>
                <c:manualLayout>
                  <c:x val="-2.8064715791123133E-2"/>
                  <c:y val="-8.3114239957293501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29830.501</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31345.302000000003</c:v>
                </c:pt>
                <c:pt idx="19" formatCode="#,##0">
                  <c:v>31986.721999999998</c:v>
                </c:pt>
              </c:numCache>
            </c:numRef>
          </c:val>
          <c:smooth val="0"/>
        </c:ser>
        <c:ser>
          <c:idx val="0"/>
          <c:order val="2"/>
          <c:tx>
            <c:v>Reduction Objective</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98634240"/>
        <c:axId val="78822144"/>
      </c:lineChart>
      <c:catAx>
        <c:axId val="9863424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8822144"/>
        <c:crosses val="autoZero"/>
        <c:auto val="1"/>
        <c:lblAlgn val="ctr"/>
        <c:lblOffset val="100"/>
        <c:noMultiLvlLbl val="0"/>
      </c:catAx>
      <c:valAx>
        <c:axId val="78822144"/>
        <c:scaling>
          <c:orientation val="minMax"/>
        </c:scaling>
        <c:delete val="0"/>
        <c:axPos val="l"/>
        <c:title>
          <c:tx>
            <c:rich>
              <a:bodyPr rot="-5400000" vert="horz"/>
              <a:lstStyle/>
              <a:p>
                <a:pPr>
                  <a:defRPr/>
                </a:pPr>
                <a:r>
                  <a:rPr lang="en-US"/>
                  <a:t>Acre</a:t>
                </a:r>
                <a:r>
                  <a:rPr lang="en-US" baseline="0"/>
                  <a:t>-Feet</a:t>
                </a:r>
                <a:endParaRPr lang="en-US"/>
              </a:p>
            </c:rich>
          </c:tx>
          <c:overlay val="0"/>
        </c:title>
        <c:numFmt formatCode="#,##0" sourceLinked="0"/>
        <c:majorTickMark val="out"/>
        <c:minorTickMark val="none"/>
        <c:tickLblPos val="nextTo"/>
        <c:crossAx val="9863424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Groundwater Management Area</a:t>
            </a:r>
          </a:p>
          <a:p>
            <a:pPr>
              <a:defRPr/>
            </a:pPr>
            <a:r>
              <a:rPr lang="en-US"/>
              <a:t>Average Annual Groundwater Use</a:t>
            </a:r>
          </a:p>
        </c:rich>
      </c:tx>
      <c:overlay val="0"/>
    </c:title>
    <c:autoTitleDeleted val="0"/>
    <c:plotArea>
      <c:layout>
        <c:manualLayout>
          <c:layoutTarget val="inner"/>
          <c:xMode val="edge"/>
          <c:yMode val="edge"/>
          <c:x val="0.12417095624240999"/>
          <c:y val="0.14421615730237117"/>
          <c:w val="0.85393849649390841"/>
          <c:h val="0.67318853151830604"/>
        </c:manualLayout>
      </c:layout>
      <c:barChart>
        <c:barDir val="col"/>
        <c:grouping val="clustered"/>
        <c:varyColors val="0"/>
        <c:ser>
          <c:idx val="2"/>
          <c:order val="1"/>
          <c:tx>
            <c:v>Actual 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'R:\Basin-Team\Rattlesnake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71921.009999999995</c:v>
                </c:pt>
                <c:pt idx="1">
                  <c:v>66155.820000000007</c:v>
                </c:pt>
                <c:pt idx="2">
                  <c:v>110880.01999999999</c:v>
                </c:pt>
                <c:pt idx="3">
                  <c:v>89636.289999999979</c:v>
                </c:pt>
                <c:pt idx="4">
                  <c:v>69561.179999999993</c:v>
                </c:pt>
                <c:pt idx="5">
                  <c:v>69912.77</c:v>
                </c:pt>
                <c:pt idx="6">
                  <c:v>109447.59</c:v>
                </c:pt>
                <c:pt idx="7">
                  <c:v>95659.5</c:v>
                </c:pt>
                <c:pt idx="8">
                  <c:v>110703.90999999999</c:v>
                </c:pt>
                <c:pt idx="9">
                  <c:v>115445.01000000001</c:v>
                </c:pt>
                <c:pt idx="10">
                  <c:v>117220.41999999998</c:v>
                </c:pt>
                <c:pt idx="11">
                  <c:v>112619.9</c:v>
                </c:pt>
                <c:pt idx="12">
                  <c:v>88853.939999999988</c:v>
                </c:pt>
                <c:pt idx="13">
                  <c:v>93292.449999999983</c:v>
                </c:pt>
                <c:pt idx="14">
                  <c:v>107837.94</c:v>
                </c:pt>
                <c:pt idx="15">
                  <c:v>85447.55</c:v>
                </c:pt>
                <c:pt idx="16">
                  <c:v>93765.430000000008</c:v>
                </c:pt>
                <c:pt idx="17">
                  <c:v>91161.78</c:v>
                </c:pt>
                <c:pt idx="18">
                  <c:v>101850.70999999999</c:v>
                </c:pt>
                <c:pt idx="19">
                  <c:v>132417.86000000002</c:v>
                </c:pt>
              </c:numCache>
            </c:numRef>
          </c:val>
        </c:ser>
        <c:dLbls>
          <c:showLegendKey val="0"/>
          <c:showVal val="0"/>
          <c:showCatName val="0"/>
          <c:showSerName val="0"/>
          <c:showPercent val="0"/>
          <c:showBubbleSize val="0"/>
        </c:dLbls>
        <c:gapWidth val="0"/>
        <c:axId val="98635264"/>
        <c:axId val="70991872"/>
      </c:barChart>
      <c:lineChart>
        <c:grouping val="standard"/>
        <c:varyColors val="0"/>
        <c:ser>
          <c:idx val="1"/>
          <c:order val="0"/>
          <c:tx>
            <c:v>10-Yr Rolling Avg</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640958341824E-2"/>
                  <c:y val="-8.4212422508848597E-2"/>
                </c:manualLayout>
              </c:layout>
              <c:dLblPos val="r"/>
              <c:showLegendKey val="0"/>
              <c:showVal val="1"/>
              <c:showCatName val="0"/>
              <c:showSerName val="0"/>
              <c:showPercent val="0"/>
              <c:showBubbleSize val="0"/>
            </c:dLbl>
            <c:dLbl>
              <c:idx val="11"/>
              <c:layout>
                <c:manualLayout>
                  <c:x val="-2.8064640958341745E-2"/>
                  <c:y val="-9.5565078493874592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dLbl>
              <c:idx val="19"/>
              <c:layout>
                <c:manualLayout>
                  <c:x val="-2.6994414159768491E-2"/>
                  <c:y val="-8.216707342505594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90932.310000000012</c:v>
                </c:pt>
                <c:pt idx="10" formatCode="#,##0">
                  <c:v>95462.251000000004</c:v>
                </c:pt>
                <c:pt idx="11" formatCode="#,##0">
                  <c:v>100108.659</c:v>
                </c:pt>
                <c:pt idx="12" formatCode="#,##0">
                  <c:v>97906.050999999992</c:v>
                </c:pt>
                <c:pt idx="13" formatCode="#,##0">
                  <c:v>98271.666999999987</c:v>
                </c:pt>
                <c:pt idx="14" formatCode="#,##0">
                  <c:v>102099.34299999999</c:v>
                </c:pt>
                <c:pt idx="15" formatCode="#,##0">
                  <c:v>103652.821</c:v>
                </c:pt>
                <c:pt idx="16" formatCode="#,##0">
                  <c:v>102084.605</c:v>
                </c:pt>
                <c:pt idx="17" formatCode="#,##0">
                  <c:v>101634.833</c:v>
                </c:pt>
                <c:pt idx="18" formatCode="#,##0">
                  <c:v>100749.51300000001</c:v>
                </c:pt>
                <c:pt idx="19" formatCode="#,##0">
                  <c:v>102446.798</c:v>
                </c:pt>
              </c:numCache>
            </c:numRef>
          </c:val>
          <c:smooth val="0"/>
        </c:ser>
        <c:ser>
          <c:idx val="0"/>
          <c:order val="2"/>
          <c:tx>
            <c:v>Reduction Objective</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98635264"/>
        <c:axId val="70991872"/>
      </c:lineChart>
      <c:catAx>
        <c:axId val="986352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0991872"/>
        <c:crosses val="autoZero"/>
        <c:auto val="1"/>
        <c:lblAlgn val="ctr"/>
        <c:lblOffset val="100"/>
        <c:noMultiLvlLbl val="0"/>
      </c:catAx>
      <c:valAx>
        <c:axId val="70991872"/>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1.0945273631840797E-2"/>
              <c:y val="0.40411049868766402"/>
            </c:manualLayout>
          </c:layout>
          <c:overlay val="0"/>
        </c:title>
        <c:numFmt formatCode="#,##0" sourceLinked="0"/>
        <c:majorTickMark val="out"/>
        <c:minorTickMark val="none"/>
        <c:tickLblPos val="nextTo"/>
        <c:crossAx val="9863526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Basinwide</a:t>
            </a:r>
            <a:r>
              <a:rPr lang="en-US" baseline="0"/>
              <a:t> Area</a:t>
            </a:r>
            <a:endParaRPr lang="en-US"/>
          </a:p>
          <a:p>
            <a:pPr>
              <a:defRPr/>
            </a:pPr>
            <a:r>
              <a:rPr lang="en-US"/>
              <a:t>Average Annual Groundwater Use</a:t>
            </a:r>
          </a:p>
        </c:rich>
      </c:tx>
      <c:overlay val="0"/>
    </c:title>
    <c:autoTitleDeleted val="0"/>
    <c:plotArea>
      <c:layout>
        <c:manualLayout>
          <c:layoutTarget val="inner"/>
          <c:xMode val="edge"/>
          <c:yMode val="edge"/>
          <c:x val="0.13796184432169867"/>
          <c:y val="0.14704101605943337"/>
          <c:w val="0.84014760841462011"/>
          <c:h val="0.67036367276124387"/>
        </c:manualLayout>
      </c:layout>
      <c:barChart>
        <c:barDir val="col"/>
        <c:grouping val="clustered"/>
        <c:varyColors val="0"/>
        <c:ser>
          <c:idx val="2"/>
          <c:order val="1"/>
          <c:tx>
            <c:v>Actual 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'[1]All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39967.01</c:v>
                </c:pt>
                <c:pt idx="1">
                  <c:v>40413.24</c:v>
                </c:pt>
                <c:pt idx="2">
                  <c:v>59208.84</c:v>
                </c:pt>
                <c:pt idx="3">
                  <c:v>48612.31</c:v>
                </c:pt>
                <c:pt idx="4">
                  <c:v>40575.509999999995</c:v>
                </c:pt>
                <c:pt idx="5">
                  <c:v>37129.619999999995</c:v>
                </c:pt>
                <c:pt idx="6">
                  <c:v>56547.520000000004</c:v>
                </c:pt>
                <c:pt idx="7">
                  <c:v>50780.1</c:v>
                </c:pt>
                <c:pt idx="8">
                  <c:v>54391.9</c:v>
                </c:pt>
                <c:pt idx="9">
                  <c:v>61681.25</c:v>
                </c:pt>
                <c:pt idx="10">
                  <c:v>59140.06</c:v>
                </c:pt>
                <c:pt idx="11">
                  <c:v>59377.36</c:v>
                </c:pt>
                <c:pt idx="12">
                  <c:v>49108.380000000005</c:v>
                </c:pt>
                <c:pt idx="13">
                  <c:v>48100.320000000007</c:v>
                </c:pt>
                <c:pt idx="14">
                  <c:v>57982.42</c:v>
                </c:pt>
                <c:pt idx="15">
                  <c:v>44623.429999999993</c:v>
                </c:pt>
                <c:pt idx="16">
                  <c:v>50138.39</c:v>
                </c:pt>
                <c:pt idx="17">
                  <c:v>49338.869999999995</c:v>
                </c:pt>
                <c:pt idx="18">
                  <c:v>57870.3</c:v>
                </c:pt>
                <c:pt idx="19">
                  <c:v>74175.070000000007</c:v>
                </c:pt>
              </c:numCache>
            </c:numRef>
          </c:val>
        </c:ser>
        <c:dLbls>
          <c:showLegendKey val="0"/>
          <c:showVal val="0"/>
          <c:showCatName val="0"/>
          <c:showSerName val="0"/>
          <c:showPercent val="0"/>
          <c:showBubbleSize val="0"/>
        </c:dLbls>
        <c:gapWidth val="0"/>
        <c:axId val="98873856"/>
        <c:axId val="70994752"/>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26E-2"/>
                  <c:y val="-6.3340228657858447E-2"/>
                </c:manualLayout>
              </c:layout>
              <c:dLblPos val="r"/>
              <c:showLegendKey val="0"/>
              <c:showVal val="1"/>
              <c:showCatName val="0"/>
              <c:showSerName val="0"/>
              <c:showPercent val="0"/>
              <c:showBubbleSize val="0"/>
            </c:dLbl>
            <c:dLbl>
              <c:idx val="9"/>
              <c:layout>
                <c:manualLayout>
                  <c:x val="-2.8064715791123133E-2"/>
                  <c:y val="-6.6165087414920595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4639663686107027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48930.729999999996</c:v>
                </c:pt>
                <c:pt idx="10" formatCode="#,##0">
                  <c:v>50848.034999999996</c:v>
                </c:pt>
                <c:pt idx="11" formatCode="#,##0">
                  <c:v>52744.447</c:v>
                </c:pt>
                <c:pt idx="12" formatCode="#,##0">
                  <c:v>51734.400999999998</c:v>
                </c:pt>
                <c:pt idx="13" formatCode="#,##0">
                  <c:v>51683.202000000005</c:v>
                </c:pt>
                <c:pt idx="14" formatCode="#,##0">
                  <c:v>53423.892999999996</c:v>
                </c:pt>
                <c:pt idx="15" formatCode="#,##0">
                  <c:v>54173.273999999998</c:v>
                </c:pt>
                <c:pt idx="16" formatCode="#,##0">
                  <c:v>53532.360999999997</c:v>
                </c:pt>
                <c:pt idx="17" formatCode="#,##0">
                  <c:v>53388.237999999998</c:v>
                </c:pt>
                <c:pt idx="18" formatCode="#,##0">
                  <c:v>53736.078000000001</c:v>
                </c:pt>
                <c:pt idx="19" formatCode="#,##0">
                  <c:v>54985.46</c:v>
                </c:pt>
              </c:numCache>
            </c:numRef>
          </c:val>
          <c:smooth val="0"/>
        </c:ser>
        <c:ser>
          <c:idx val="0"/>
          <c:order val="2"/>
          <c:tx>
            <c:v>Reduction Objective</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98873856"/>
        <c:axId val="70994752"/>
      </c:lineChart>
      <c:catAx>
        <c:axId val="988738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0994752"/>
        <c:crosses val="autoZero"/>
        <c:auto val="1"/>
        <c:lblAlgn val="ctr"/>
        <c:lblOffset val="100"/>
        <c:noMultiLvlLbl val="0"/>
      </c:catAx>
      <c:valAx>
        <c:axId val="70994752"/>
        <c:scaling>
          <c:orientation val="minMax"/>
        </c:scaling>
        <c:delete val="0"/>
        <c:axPos val="l"/>
        <c:title>
          <c:tx>
            <c:rich>
              <a:bodyPr rot="-5400000" vert="horz"/>
              <a:lstStyle/>
              <a:p>
                <a:pPr>
                  <a:defRPr/>
                </a:pPr>
                <a:r>
                  <a:rPr lang="en-US"/>
                  <a:t>Acre</a:t>
                </a:r>
                <a:r>
                  <a:rPr lang="en-US" baseline="0"/>
                  <a:t>-Feet</a:t>
                </a:r>
                <a:endParaRPr lang="en-US"/>
              </a:p>
            </c:rich>
          </c:tx>
          <c:overlay val="0"/>
        </c:title>
        <c:numFmt formatCode="#,##0" sourceLinked="0"/>
        <c:majorTickMark val="out"/>
        <c:minorTickMark val="none"/>
        <c:tickLblPos val="nextTo"/>
        <c:crossAx val="98873856"/>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Annual Precipitation and Irrigation Water</a:t>
            </a:r>
            <a:r>
              <a:rPr lang="en-US" sz="1400" baseline="0"/>
              <a:t> Applied</a:t>
            </a:r>
            <a:endParaRPr lang="en-US" sz="1400"/>
          </a:p>
        </c:rich>
      </c:tx>
      <c:overlay val="0"/>
    </c:title>
    <c:autoTitleDeleted val="0"/>
    <c:plotArea>
      <c:layout>
        <c:manualLayout>
          <c:layoutTarget val="inner"/>
          <c:xMode val="edge"/>
          <c:yMode val="edge"/>
          <c:x val="9.1719447477824401E-2"/>
          <c:y val="0.11347832093070746"/>
          <c:w val="0.88686936030806374"/>
          <c:h val="0.60617596713454291"/>
        </c:manualLayout>
      </c:layout>
      <c:lineChart>
        <c:grouping val="standard"/>
        <c:varyColors val="0"/>
        <c:ser>
          <c:idx val="0"/>
          <c:order val="0"/>
          <c:tx>
            <c:v>Precipitation</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Acres'!$K$31:$K$42</c:f>
              <c:numCache>
                <c:formatCode>0.00</c:formatCode>
                <c:ptCount val="12"/>
                <c:pt idx="0">
                  <c:v>30.207500000000003</c:v>
                </c:pt>
                <c:pt idx="1">
                  <c:v>20.120000000000005</c:v>
                </c:pt>
                <c:pt idx="2">
                  <c:v>23.254999999999999</c:v>
                </c:pt>
                <c:pt idx="3">
                  <c:v>21.004999999999999</c:v>
                </c:pt>
                <c:pt idx="4">
                  <c:v>26.527500000000003</c:v>
                </c:pt>
                <c:pt idx="5">
                  <c:v>26.577500000000001</c:v>
                </c:pt>
                <c:pt idx="6">
                  <c:v>24.487500000000004</c:v>
                </c:pt>
                <c:pt idx="7">
                  <c:v>36.07</c:v>
                </c:pt>
                <c:pt idx="8">
                  <c:v>27.369999999999997</c:v>
                </c:pt>
                <c:pt idx="9">
                  <c:v>23.4725</c:v>
                </c:pt>
                <c:pt idx="10">
                  <c:v>26.875</c:v>
                </c:pt>
                <c:pt idx="11">
                  <c:v>15.09</c:v>
                </c:pt>
              </c:numCache>
            </c:numRef>
          </c:val>
          <c:smooth val="0"/>
        </c:ser>
        <c:ser>
          <c:idx val="1"/>
          <c:order val="1"/>
          <c:tx>
            <c:v>Priority Area 1</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Acres'!$B$31:$B$42</c:f>
              <c:numCache>
                <c:formatCode>#,##0.00</c:formatCode>
                <c:ptCount val="12"/>
                <c:pt idx="0">
                  <c:v>12.60806754819181</c:v>
                </c:pt>
                <c:pt idx="1">
                  <c:v>13.545934272300469</c:v>
                </c:pt>
                <c:pt idx="2">
                  <c:v>14.165047765793528</c:v>
                </c:pt>
                <c:pt idx="3">
                  <c:v>14.783911165946945</c:v>
                </c:pt>
                <c:pt idx="4">
                  <c:v>10.536108144192255</c:v>
                </c:pt>
                <c:pt idx="5">
                  <c:v>11.844549983394222</c:v>
                </c:pt>
                <c:pt idx="6">
                  <c:v>13.171624349954115</c:v>
                </c:pt>
                <c:pt idx="7">
                  <c:v>9.3382201405152223</c:v>
                </c:pt>
                <c:pt idx="8">
                  <c:v>12.683325526932084</c:v>
                </c:pt>
                <c:pt idx="9">
                  <c:v>10.409382309339483</c:v>
                </c:pt>
                <c:pt idx="10">
                  <c:v>14.082487284659557</c:v>
                </c:pt>
                <c:pt idx="11">
                  <c:v>19.041546325878592</c:v>
                </c:pt>
              </c:numCache>
            </c:numRef>
          </c:val>
          <c:smooth val="0"/>
        </c:ser>
        <c:ser>
          <c:idx val="2"/>
          <c:order val="2"/>
          <c:tx>
            <c:v>Priority Area 1 Total</c:v>
          </c:tx>
          <c:spPr>
            <a:ln>
              <a:solidFill>
                <a:schemeClr val="accent2"/>
              </a:solidFill>
              <a:prstDash val="sys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Acres'!$B$45:$B$56</c:f>
              <c:numCache>
                <c:formatCode>#,##0.00</c:formatCode>
                <c:ptCount val="12"/>
                <c:pt idx="0">
                  <c:v>42.815567548191815</c:v>
                </c:pt>
                <c:pt idx="1">
                  <c:v>33.665934272300476</c:v>
                </c:pt>
                <c:pt idx="2">
                  <c:v>37.420047765793527</c:v>
                </c:pt>
                <c:pt idx="3">
                  <c:v>35.788911165946942</c:v>
                </c:pt>
                <c:pt idx="4">
                  <c:v>37.063608144192258</c:v>
                </c:pt>
                <c:pt idx="5">
                  <c:v>38.422049983394224</c:v>
                </c:pt>
                <c:pt idx="6">
                  <c:v>37.659124349954119</c:v>
                </c:pt>
                <c:pt idx="7">
                  <c:v>45.408220140515226</c:v>
                </c:pt>
                <c:pt idx="8">
                  <c:v>40.053325526932085</c:v>
                </c:pt>
                <c:pt idx="9">
                  <c:v>33.881882309339481</c:v>
                </c:pt>
                <c:pt idx="10">
                  <c:v>40.957487284659557</c:v>
                </c:pt>
                <c:pt idx="11">
                  <c:v>34.131546325878588</c:v>
                </c:pt>
              </c:numCache>
            </c:numRef>
          </c:val>
          <c:smooth val="0"/>
        </c:ser>
        <c:ser>
          <c:idx val="3"/>
          <c:order val="3"/>
          <c:tx>
            <c:v>Priority Area 2</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Acres'!$C$31:$C$42</c:f>
              <c:numCache>
                <c:formatCode>#,##0.00</c:formatCode>
                <c:ptCount val="12"/>
                <c:pt idx="0">
                  <c:v>14.013817738989243</c:v>
                </c:pt>
                <c:pt idx="1">
                  <c:v>13.448380952380953</c:v>
                </c:pt>
                <c:pt idx="2">
                  <c:v>14.581619631901841</c:v>
                </c:pt>
                <c:pt idx="3">
                  <c:v>14.330600255427843</c:v>
                </c:pt>
                <c:pt idx="4">
                  <c:v>10.697696447793325</c:v>
                </c:pt>
                <c:pt idx="5">
                  <c:v>12.499995813271926</c:v>
                </c:pt>
                <c:pt idx="6">
                  <c:v>12.69595980741051</c:v>
                </c:pt>
                <c:pt idx="7">
                  <c:v>11.76902331442974</c:v>
                </c:pt>
                <c:pt idx="8">
                  <c:v>10.435674331883156</c:v>
                </c:pt>
                <c:pt idx="9">
                  <c:v>10.700111731843577</c:v>
                </c:pt>
                <c:pt idx="10">
                  <c:v>13.361328847771237</c:v>
                </c:pt>
                <c:pt idx="11">
                  <c:v>17.986231155778896</c:v>
                </c:pt>
              </c:numCache>
            </c:numRef>
          </c:val>
          <c:smooth val="0"/>
        </c:ser>
        <c:ser>
          <c:idx val="4"/>
          <c:order val="4"/>
          <c:tx>
            <c:v>Priority Area 2 Total</c:v>
          </c:tx>
          <c:spPr>
            <a:ln>
              <a:solidFill>
                <a:schemeClr val="accent4"/>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Acres'!$C$45:$C$56</c:f>
              <c:numCache>
                <c:formatCode>#,##0.00</c:formatCode>
                <c:ptCount val="12"/>
                <c:pt idx="0">
                  <c:v>44.221317738989242</c:v>
                </c:pt>
                <c:pt idx="1">
                  <c:v>33.568380952380956</c:v>
                </c:pt>
                <c:pt idx="2">
                  <c:v>37.83661963190184</c:v>
                </c:pt>
                <c:pt idx="3">
                  <c:v>35.335600255427842</c:v>
                </c:pt>
                <c:pt idx="4">
                  <c:v>37.22519644779333</c:v>
                </c:pt>
                <c:pt idx="5">
                  <c:v>39.077495813271923</c:v>
                </c:pt>
                <c:pt idx="6">
                  <c:v>37.183459807410514</c:v>
                </c:pt>
                <c:pt idx="7">
                  <c:v>47.839023314429738</c:v>
                </c:pt>
                <c:pt idx="8">
                  <c:v>37.805674331883154</c:v>
                </c:pt>
                <c:pt idx="9">
                  <c:v>34.172611731843574</c:v>
                </c:pt>
                <c:pt idx="10">
                  <c:v>40.236328847771233</c:v>
                </c:pt>
                <c:pt idx="11">
                  <c:v>33.076231155778899</c:v>
                </c:pt>
              </c:numCache>
            </c:numRef>
          </c:val>
          <c:smooth val="0"/>
        </c:ser>
        <c:ser>
          <c:idx val="5"/>
          <c:order val="5"/>
          <c:tx>
            <c:v>Priority Area 3</c:v>
          </c:tx>
          <c:spPr>
            <a:ln>
              <a:solidFill>
                <a:schemeClr val="accent6">
                  <a:lumMod val="75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Acres'!$D$31:$D$42</c:f>
              <c:numCache>
                <c:formatCode>#,##0.00</c:formatCode>
                <c:ptCount val="12"/>
                <c:pt idx="0">
                  <c:v>14.227851562500001</c:v>
                </c:pt>
                <c:pt idx="1">
                  <c:v>16.26001172562048</c:v>
                </c:pt>
                <c:pt idx="2">
                  <c:v>14.613291755992982</c:v>
                </c:pt>
                <c:pt idx="3">
                  <c:v>17.559773437499999</c:v>
                </c:pt>
                <c:pt idx="4">
                  <c:v>11.346687672311933</c:v>
                </c:pt>
                <c:pt idx="5">
                  <c:v>12.183632367632367</c:v>
                </c:pt>
                <c:pt idx="6">
                  <c:v>14.632356836774445</c:v>
                </c:pt>
                <c:pt idx="7">
                  <c:v>9.7371833202202982</c:v>
                </c:pt>
                <c:pt idx="8">
                  <c:v>12.422638398115428</c:v>
                </c:pt>
                <c:pt idx="9">
                  <c:v>11.613865317244064</c:v>
                </c:pt>
                <c:pt idx="10">
                  <c:v>14.226586360986984</c:v>
                </c:pt>
                <c:pt idx="11">
                  <c:v>18.932210021960472</c:v>
                </c:pt>
              </c:numCache>
            </c:numRef>
          </c:val>
          <c:smooth val="0"/>
        </c:ser>
        <c:ser>
          <c:idx val="6"/>
          <c:order val="6"/>
          <c:tx>
            <c:v>Priority Area 3 Total</c:v>
          </c:tx>
          <c:spPr>
            <a:ln>
              <a:solidFill>
                <a:schemeClr val="accent6">
                  <a:lumMod val="75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Acres'!$D$45:$D$56</c:f>
              <c:numCache>
                <c:formatCode>#,##0.00</c:formatCode>
                <c:ptCount val="12"/>
                <c:pt idx="0">
                  <c:v>44.435351562500003</c:v>
                </c:pt>
                <c:pt idx="1">
                  <c:v>36.380011725620484</c:v>
                </c:pt>
                <c:pt idx="2">
                  <c:v>37.868291755992985</c:v>
                </c:pt>
                <c:pt idx="3">
                  <c:v>38.564773437499994</c:v>
                </c:pt>
                <c:pt idx="4">
                  <c:v>37.874187672311933</c:v>
                </c:pt>
                <c:pt idx="5">
                  <c:v>38.761132367632371</c:v>
                </c:pt>
                <c:pt idx="6">
                  <c:v>39.119856836774446</c:v>
                </c:pt>
                <c:pt idx="7">
                  <c:v>45.807183320220297</c:v>
                </c:pt>
                <c:pt idx="8">
                  <c:v>39.792638398115429</c:v>
                </c:pt>
                <c:pt idx="9">
                  <c:v>35.086365317244066</c:v>
                </c:pt>
                <c:pt idx="10">
                  <c:v>41.101586360986985</c:v>
                </c:pt>
                <c:pt idx="11">
                  <c:v>34.022210021960476</c:v>
                </c:pt>
              </c:numCache>
            </c:numRef>
          </c:val>
          <c:smooth val="0"/>
        </c:ser>
        <c:ser>
          <c:idx val="7"/>
          <c:order val="7"/>
          <c:tx>
            <c:v>Priority Area 4</c:v>
          </c:tx>
          <c:spPr>
            <a:ln>
              <a:solidFill>
                <a:schemeClr val="accent3"/>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Acres'!$E$31:$E$42</c:f>
              <c:numCache>
                <c:formatCode>#,##0.00</c:formatCode>
                <c:ptCount val="12"/>
                <c:pt idx="0">
                  <c:v>15.460880518379458</c:v>
                </c:pt>
                <c:pt idx="1">
                  <c:v>17.215298013245032</c:v>
                </c:pt>
                <c:pt idx="2">
                  <c:v>16.643142224409448</c:v>
                </c:pt>
                <c:pt idx="3">
                  <c:v>15.707654859218891</c:v>
                </c:pt>
                <c:pt idx="4">
                  <c:v>11.800797350343474</c:v>
                </c:pt>
                <c:pt idx="5">
                  <c:v>13.588227855947439</c:v>
                </c:pt>
                <c:pt idx="6">
                  <c:v>15.563752164234479</c:v>
                </c:pt>
                <c:pt idx="7">
                  <c:v>11.734080699662096</c:v>
                </c:pt>
                <c:pt idx="8">
                  <c:v>12.914016985676259</c:v>
                </c:pt>
                <c:pt idx="9">
                  <c:v>13.200493604987468</c:v>
                </c:pt>
                <c:pt idx="10">
                  <c:v>14.83337570093458</c:v>
                </c:pt>
                <c:pt idx="11">
                  <c:v>19.418560277536862</c:v>
                </c:pt>
              </c:numCache>
            </c:numRef>
          </c:val>
          <c:smooth val="0"/>
        </c:ser>
        <c:ser>
          <c:idx val="8"/>
          <c:order val="8"/>
          <c:tx>
            <c:v>Priority Area 4 Total</c:v>
          </c:tx>
          <c:spPr>
            <a:ln>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Acres'!$E$45:$E$56</c:f>
              <c:numCache>
                <c:formatCode>#,##0.00</c:formatCode>
                <c:ptCount val="12"/>
                <c:pt idx="0">
                  <c:v>45.668380518379465</c:v>
                </c:pt>
                <c:pt idx="1">
                  <c:v>37.335298013245037</c:v>
                </c:pt>
                <c:pt idx="2">
                  <c:v>39.898142224409447</c:v>
                </c:pt>
                <c:pt idx="3">
                  <c:v>36.712654859218887</c:v>
                </c:pt>
                <c:pt idx="4">
                  <c:v>38.328297350343476</c:v>
                </c:pt>
                <c:pt idx="5">
                  <c:v>40.165727855947438</c:v>
                </c:pt>
                <c:pt idx="6">
                  <c:v>40.051252164234484</c:v>
                </c:pt>
                <c:pt idx="7">
                  <c:v>47.804080699662094</c:v>
                </c:pt>
                <c:pt idx="8">
                  <c:v>40.28401698567626</c:v>
                </c:pt>
                <c:pt idx="9">
                  <c:v>36.672993604987468</c:v>
                </c:pt>
                <c:pt idx="10">
                  <c:v>41.708375700934582</c:v>
                </c:pt>
                <c:pt idx="11">
                  <c:v>34.508560277536859</c:v>
                </c:pt>
              </c:numCache>
            </c:numRef>
          </c:val>
          <c:smooth val="0"/>
        </c:ser>
        <c:ser>
          <c:idx val="9"/>
          <c:order val="9"/>
          <c:tx>
            <c:v>Priority Area 5</c:v>
          </c:tx>
          <c:spPr>
            <a:ln>
              <a:solidFill>
                <a:schemeClr val="accent5">
                  <a:lumMod val="40000"/>
                  <a:lumOff val="60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Acres'!$F$31:$F$42</c:f>
              <c:numCache>
                <c:formatCode>#,##0.00</c:formatCode>
                <c:ptCount val="12"/>
                <c:pt idx="0">
                  <c:v>15.176825591098748</c:v>
                </c:pt>
                <c:pt idx="1">
                  <c:v>15.803459686210658</c:v>
                </c:pt>
                <c:pt idx="2">
                  <c:v>15.961751354920356</c:v>
                </c:pt>
                <c:pt idx="3">
                  <c:v>15.392509066747875</c:v>
                </c:pt>
                <c:pt idx="4">
                  <c:v>12.077302867625239</c:v>
                </c:pt>
                <c:pt idx="5">
                  <c:v>12.725472824556462</c:v>
                </c:pt>
                <c:pt idx="6">
                  <c:v>14.888546684331637</c:v>
                </c:pt>
                <c:pt idx="7">
                  <c:v>11.716266202305889</c:v>
                </c:pt>
                <c:pt idx="8">
                  <c:v>13.239267063673843</c:v>
                </c:pt>
                <c:pt idx="9">
                  <c:v>12.453118332919871</c:v>
                </c:pt>
                <c:pt idx="10">
                  <c:v>13.588806874518012</c:v>
                </c:pt>
                <c:pt idx="11">
                  <c:v>17.723841745494717</c:v>
                </c:pt>
              </c:numCache>
            </c:numRef>
          </c:val>
          <c:smooth val="0"/>
        </c:ser>
        <c:ser>
          <c:idx val="10"/>
          <c:order val="10"/>
          <c:tx>
            <c:v>Priority Area 5 Total</c:v>
          </c:tx>
          <c:spPr>
            <a:ln>
              <a:solidFill>
                <a:schemeClr val="accent5">
                  <a:lumMod val="40000"/>
                  <a:lumOff val="6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Acres'!$F$45:$F$56</c:f>
              <c:numCache>
                <c:formatCode>#,##0.00</c:formatCode>
                <c:ptCount val="12"/>
                <c:pt idx="0">
                  <c:v>45.384325591098751</c:v>
                </c:pt>
                <c:pt idx="1">
                  <c:v>35.923459686210663</c:v>
                </c:pt>
                <c:pt idx="2">
                  <c:v>39.216751354920355</c:v>
                </c:pt>
                <c:pt idx="3">
                  <c:v>36.397509066747872</c:v>
                </c:pt>
                <c:pt idx="4">
                  <c:v>38.604802867625239</c:v>
                </c:pt>
                <c:pt idx="5">
                  <c:v>39.302972824556463</c:v>
                </c:pt>
                <c:pt idx="6">
                  <c:v>39.376046684331641</c:v>
                </c:pt>
                <c:pt idx="7">
                  <c:v>47.786266202305889</c:v>
                </c:pt>
                <c:pt idx="8">
                  <c:v>40.60926706367384</c:v>
                </c:pt>
                <c:pt idx="9">
                  <c:v>35.925618332919868</c:v>
                </c:pt>
                <c:pt idx="10">
                  <c:v>40.463806874518014</c:v>
                </c:pt>
                <c:pt idx="11">
                  <c:v>32.813841745494713</c:v>
                </c:pt>
              </c:numCache>
            </c:numRef>
          </c:val>
          <c:smooth val="0"/>
        </c:ser>
        <c:ser>
          <c:idx val="11"/>
          <c:order val="11"/>
          <c:tx>
            <c:v>Priority Area 7</c:v>
          </c:tx>
          <c:spPr>
            <a:ln>
              <a:solidFill>
                <a:schemeClr val="tx1"/>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Acres'!$G$31:$G$42</c:f>
              <c:numCache>
                <c:formatCode>#,##0.00</c:formatCode>
                <c:ptCount val="12"/>
                <c:pt idx="0">
                  <c:v>15.103277541165937</c:v>
                </c:pt>
                <c:pt idx="1">
                  <c:v>16.875277473774123</c:v>
                </c:pt>
                <c:pt idx="2">
                  <c:v>15.686650331433288</c:v>
                </c:pt>
                <c:pt idx="3">
                  <c:v>16.229314966887419</c:v>
                </c:pt>
                <c:pt idx="4">
                  <c:v>13.908334483674011</c:v>
                </c:pt>
                <c:pt idx="5">
                  <c:v>13.369782713664897</c:v>
                </c:pt>
                <c:pt idx="6">
                  <c:v>15.780635137981882</c:v>
                </c:pt>
                <c:pt idx="7">
                  <c:v>12.11834250668344</c:v>
                </c:pt>
                <c:pt idx="8">
                  <c:v>13.869862350706459</c:v>
                </c:pt>
                <c:pt idx="9">
                  <c:v>13.549540863419395</c:v>
                </c:pt>
                <c:pt idx="10">
                  <c:v>15.345438371575835</c:v>
                </c:pt>
                <c:pt idx="11">
                  <c:v>19.67023576048404</c:v>
                </c:pt>
              </c:numCache>
            </c:numRef>
          </c:val>
          <c:smooth val="0"/>
        </c:ser>
        <c:ser>
          <c:idx val="12"/>
          <c:order val="12"/>
          <c:tx>
            <c:v>Priority Area 7 Total</c:v>
          </c:tx>
          <c:spPr>
            <a:ln>
              <a:solidFill>
                <a:schemeClr val="tx1"/>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Acres'!$G$45:$G$56</c:f>
              <c:numCache>
                <c:formatCode>#,##0.00</c:formatCode>
                <c:ptCount val="12"/>
                <c:pt idx="0">
                  <c:v>45.31077754116594</c:v>
                </c:pt>
                <c:pt idx="1">
                  <c:v>36.995277473774124</c:v>
                </c:pt>
                <c:pt idx="2">
                  <c:v>38.941650331433287</c:v>
                </c:pt>
                <c:pt idx="3">
                  <c:v>37.234314966887418</c:v>
                </c:pt>
                <c:pt idx="4">
                  <c:v>40.435834483674014</c:v>
                </c:pt>
                <c:pt idx="5">
                  <c:v>39.947282713664897</c:v>
                </c:pt>
                <c:pt idx="6">
                  <c:v>40.268135137981886</c:v>
                </c:pt>
                <c:pt idx="7">
                  <c:v>48.188342506683441</c:v>
                </c:pt>
                <c:pt idx="8">
                  <c:v>41.23986235070646</c:v>
                </c:pt>
                <c:pt idx="9">
                  <c:v>37.022040863419392</c:v>
                </c:pt>
                <c:pt idx="10">
                  <c:v>42.220438371575838</c:v>
                </c:pt>
                <c:pt idx="11">
                  <c:v>34.760235760484036</c:v>
                </c:pt>
              </c:numCache>
            </c:numRef>
          </c:val>
          <c:smooth val="0"/>
        </c:ser>
        <c:ser>
          <c:idx val="13"/>
          <c:order val="13"/>
          <c:tx>
            <c:v>MIA</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Acres'!$H$31:$H$42</c:f>
              <c:numCache>
                <c:formatCode>#,##0.00</c:formatCode>
                <c:ptCount val="12"/>
                <c:pt idx="0">
                  <c:v>14.40484611920132</c:v>
                </c:pt>
                <c:pt idx="1">
                  <c:v>15.834650241970966</c:v>
                </c:pt>
                <c:pt idx="2">
                  <c:v>14.628653790717784</c:v>
                </c:pt>
                <c:pt idx="3">
                  <c:v>14.977756448710256</c:v>
                </c:pt>
                <c:pt idx="4">
                  <c:v>9.9080933616247346</c:v>
                </c:pt>
                <c:pt idx="5">
                  <c:v>13.094895314057826</c:v>
                </c:pt>
                <c:pt idx="6">
                  <c:v>14.498743990384616</c:v>
                </c:pt>
                <c:pt idx="7">
                  <c:v>11.147723738374753</c:v>
                </c:pt>
                <c:pt idx="8">
                  <c:v>10.264433143882741</c:v>
                </c:pt>
                <c:pt idx="9">
                  <c:v>11.583515833086713</c:v>
                </c:pt>
                <c:pt idx="10">
                  <c:v>15.986609391201302</c:v>
                </c:pt>
                <c:pt idx="11">
                  <c:v>20.068732644017729</c:v>
                </c:pt>
              </c:numCache>
            </c:numRef>
          </c:val>
          <c:smooth val="0"/>
        </c:ser>
        <c:ser>
          <c:idx val="14"/>
          <c:order val="14"/>
          <c:tx>
            <c:v>MIA Total</c:v>
          </c:tx>
          <c:spPr>
            <a:ln>
              <a:solidFill>
                <a:schemeClr val="accent2">
                  <a:lumMod val="60000"/>
                  <a:lumOff val="4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Acres'!$H$45:$H$56</c:f>
              <c:numCache>
                <c:formatCode>#,##0.00</c:formatCode>
                <c:ptCount val="12"/>
                <c:pt idx="0">
                  <c:v>44.61234611920132</c:v>
                </c:pt>
                <c:pt idx="1">
                  <c:v>35.954650241970967</c:v>
                </c:pt>
                <c:pt idx="2">
                  <c:v>37.883653790717787</c:v>
                </c:pt>
                <c:pt idx="3">
                  <c:v>35.982756448710255</c:v>
                </c:pt>
                <c:pt idx="4">
                  <c:v>36.43559336162474</c:v>
                </c:pt>
                <c:pt idx="5">
                  <c:v>39.672395314057823</c:v>
                </c:pt>
                <c:pt idx="6">
                  <c:v>38.986243990384622</c:v>
                </c:pt>
                <c:pt idx="7">
                  <c:v>47.217723738374751</c:v>
                </c:pt>
                <c:pt idx="8">
                  <c:v>37.634433143882738</c:v>
                </c:pt>
                <c:pt idx="9">
                  <c:v>35.056015833086711</c:v>
                </c:pt>
                <c:pt idx="10">
                  <c:v>42.861609391201299</c:v>
                </c:pt>
                <c:pt idx="11">
                  <c:v>35.158732644017732</c:v>
                </c:pt>
              </c:numCache>
            </c:numRef>
          </c:val>
          <c:smooth val="0"/>
        </c:ser>
        <c:dLbls>
          <c:showLegendKey val="0"/>
          <c:showVal val="0"/>
          <c:showCatName val="0"/>
          <c:showSerName val="0"/>
          <c:showPercent val="0"/>
          <c:showBubbleSize val="0"/>
        </c:dLbls>
        <c:marker val="1"/>
        <c:smooth val="0"/>
        <c:axId val="98876928"/>
        <c:axId val="70995328"/>
      </c:lineChart>
      <c:catAx>
        <c:axId val="98876928"/>
        <c:scaling>
          <c:orientation val="minMax"/>
        </c:scaling>
        <c:delete val="0"/>
        <c:axPos val="b"/>
        <c:majorGridlines/>
        <c:numFmt formatCode="General" sourceLinked="1"/>
        <c:majorTickMark val="out"/>
        <c:minorTickMark val="out"/>
        <c:tickLblPos val="nextTo"/>
        <c:crossAx val="70995328"/>
        <c:crosses val="autoZero"/>
        <c:auto val="1"/>
        <c:lblAlgn val="ctr"/>
        <c:lblOffset val="100"/>
        <c:tickMarkSkip val="2"/>
        <c:noMultiLvlLbl val="0"/>
      </c:catAx>
      <c:valAx>
        <c:axId val="70995328"/>
        <c:scaling>
          <c:orientation val="minMax"/>
        </c:scaling>
        <c:delete val="0"/>
        <c:axPos val="l"/>
        <c:majorGridlines/>
        <c:title>
          <c:tx>
            <c:rich>
              <a:bodyPr rot="-5400000" vert="horz"/>
              <a:lstStyle/>
              <a:p>
                <a:pPr>
                  <a:defRPr/>
                </a:pPr>
                <a:r>
                  <a:rPr lang="en-US" baseline="0"/>
                  <a:t> inches per acre</a:t>
                </a:r>
                <a:endParaRPr lang="en-US"/>
              </a:p>
            </c:rich>
          </c:tx>
          <c:overlay val="0"/>
        </c:title>
        <c:numFmt formatCode="0" sourceLinked="0"/>
        <c:majorTickMark val="out"/>
        <c:minorTickMark val="out"/>
        <c:tickLblPos val="nextTo"/>
        <c:crossAx val="98876928"/>
        <c:crosses val="autoZero"/>
        <c:crossBetween val="between"/>
      </c:valAx>
    </c:plotArea>
    <c:legend>
      <c:legendPos val="b"/>
      <c:layout>
        <c:manualLayout>
          <c:xMode val="edge"/>
          <c:yMode val="edge"/>
          <c:x val="6.0698660842577162E-2"/>
          <c:y val="0.7932914106560478"/>
          <c:w val="0.87860252504933234"/>
          <c:h val="0.18840195318834574"/>
        </c:manualLayout>
      </c:layout>
      <c:overlay val="0"/>
    </c:legend>
    <c:plotVisOnly val="1"/>
    <c:dispBlanksAs val="gap"/>
    <c:showDLblsOverMax val="0"/>
  </c:chart>
  <c:spPr>
    <a:ln w="15875">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Reported Irrigated Acres</a:t>
            </a:r>
          </a:p>
        </c:rich>
      </c:tx>
      <c:overlay val="0"/>
    </c:title>
    <c:autoTitleDeleted val="0"/>
    <c:plotArea>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6277</c:v>
                </c:pt>
                <c:pt idx="1">
                  <c:v>6390</c:v>
                </c:pt>
                <c:pt idx="2">
                  <c:v>6490</c:v>
                </c:pt>
                <c:pt idx="3">
                  <c:v>6484</c:v>
                </c:pt>
                <c:pt idx="4">
                  <c:v>5992</c:v>
                </c:pt>
                <c:pt idx="5">
                  <c:v>6022</c:v>
                </c:pt>
                <c:pt idx="6">
                  <c:v>6538</c:v>
                </c:pt>
                <c:pt idx="7">
                  <c:v>5978</c:v>
                </c:pt>
                <c:pt idx="8">
                  <c:v>5978</c:v>
                </c:pt>
                <c:pt idx="9">
                  <c:v>6071</c:v>
                </c:pt>
                <c:pt idx="10">
                  <c:v>6095</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5120</c:v>
                </c:pt>
                <c:pt idx="1">
                  <c:v>5117</c:v>
                </c:pt>
                <c:pt idx="2">
                  <c:v>5131</c:v>
                </c:pt>
                <c:pt idx="3">
                  <c:v>5120</c:v>
                </c:pt>
                <c:pt idx="4">
                  <c:v>5078</c:v>
                </c:pt>
                <c:pt idx="5">
                  <c:v>5005</c:v>
                </c:pt>
                <c:pt idx="6">
                  <c:v>5134</c:v>
                </c:pt>
                <c:pt idx="7">
                  <c:v>5084</c:v>
                </c:pt>
                <c:pt idx="8">
                  <c:v>5094</c:v>
                </c:pt>
                <c:pt idx="9">
                  <c:v>5138</c:v>
                </c:pt>
                <c:pt idx="10">
                  <c:v>5147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16513</c:v>
                </c:pt>
                <c:pt idx="1">
                  <c:v>16308</c:v>
                </c:pt>
                <c:pt idx="2">
                  <c:v>16256</c:v>
                </c:pt>
                <c:pt idx="3">
                  <c:v>16515</c:v>
                </c:pt>
                <c:pt idx="4">
                  <c:v>16304</c:v>
                </c:pt>
                <c:pt idx="5">
                  <c:v>16133</c:v>
                </c:pt>
                <c:pt idx="6">
                  <c:v>16172</c:v>
                </c:pt>
                <c:pt idx="7">
                  <c:v>15093</c:v>
                </c:pt>
                <c:pt idx="8">
                  <c:v>15778</c:v>
                </c:pt>
                <c:pt idx="9">
                  <c:v>15559</c:v>
                </c:pt>
                <c:pt idx="10">
                  <c:v>16050</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6661</c:v>
                </c:pt>
                <c:pt idx="1">
                  <c:v>6819</c:v>
                </c:pt>
                <c:pt idx="2">
                  <c:v>6938</c:v>
                </c:pt>
                <c:pt idx="3">
                  <c:v>6668</c:v>
                </c:pt>
                <c:pt idx="4">
                  <c:v>6598</c:v>
                </c:pt>
                <c:pt idx="5">
                  <c:v>6018</c:v>
                </c:pt>
                <c:pt idx="6">
                  <c:v>6656</c:v>
                </c:pt>
                <c:pt idx="7">
                  <c:v>6559</c:v>
                </c:pt>
                <c:pt idx="8">
                  <c:v>6686</c:v>
                </c:pt>
                <c:pt idx="9">
                  <c:v>6758</c:v>
                </c:pt>
                <c:pt idx="10">
                  <c:v>6751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11802</c:v>
                </c:pt>
                <c:pt idx="1">
                  <c:v>12022</c:v>
                </c:pt>
                <c:pt idx="2">
                  <c:v>12088</c:v>
                </c:pt>
                <c:pt idx="3">
                  <c:v>12055</c:v>
                </c:pt>
                <c:pt idx="4">
                  <c:v>12088</c:v>
                </c:pt>
                <c:pt idx="5">
                  <c:v>11871</c:v>
                </c:pt>
                <c:pt idx="6">
                  <c:v>11826</c:v>
                </c:pt>
                <c:pt idx="7">
                  <c:v>11661</c:v>
                </c:pt>
                <c:pt idx="8">
                  <c:v>11850</c:v>
                </c:pt>
                <c:pt idx="9">
                  <c:v>11703</c:v>
                </c:pt>
                <c:pt idx="10">
                  <c:v>11698</c:v>
                </c:pt>
                <c:pt idx="11">
                  <c:v>11684</c:v>
                </c:pt>
              </c:numCache>
            </c:numRef>
          </c:val>
          <c:smooth val="0"/>
        </c:ser>
        <c:dLbls>
          <c:showLegendKey val="0"/>
          <c:showVal val="0"/>
          <c:showCatName val="0"/>
          <c:showSerName val="0"/>
          <c:showPercent val="0"/>
          <c:showBubbleSize val="0"/>
        </c:dLbls>
        <c:marker val="1"/>
        <c:smooth val="0"/>
        <c:axId val="102601216"/>
        <c:axId val="70996480"/>
      </c:lineChart>
      <c:catAx>
        <c:axId val="102601216"/>
        <c:scaling>
          <c:orientation val="minMax"/>
        </c:scaling>
        <c:delete val="0"/>
        <c:axPos val="b"/>
        <c:numFmt formatCode="General" sourceLinked="1"/>
        <c:majorTickMark val="out"/>
        <c:minorTickMark val="none"/>
        <c:tickLblPos val="nextTo"/>
        <c:crossAx val="70996480"/>
        <c:crosses val="autoZero"/>
        <c:auto val="1"/>
        <c:lblAlgn val="ctr"/>
        <c:lblOffset val="100"/>
        <c:noMultiLvlLbl val="0"/>
      </c:catAx>
      <c:valAx>
        <c:axId val="70996480"/>
        <c:scaling>
          <c:orientation val="minMax"/>
        </c:scaling>
        <c:delete val="0"/>
        <c:axPos val="l"/>
        <c:majorGridlines/>
        <c:numFmt formatCode="#,##0" sourceLinked="1"/>
        <c:majorTickMark val="out"/>
        <c:minorTickMark val="none"/>
        <c:tickLblPos val="nextTo"/>
        <c:crossAx val="102601216"/>
        <c:crosses val="autoZero"/>
        <c:crossBetween val="between"/>
      </c:valAx>
    </c:plotArea>
    <c:legend>
      <c:legendPos val="b"/>
      <c:layout>
        <c:manualLayout>
          <c:xMode val="edge"/>
          <c:yMode val="edge"/>
          <c:x val="6.9998468941382314E-2"/>
          <c:y val="0.8766997835446092"/>
          <c:w val="0.88222528433945746"/>
          <c:h val="9.5522555055895658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Report Irrigated Acres</a:t>
            </a:r>
          </a:p>
        </c:rich>
      </c:tx>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71900</c:v>
                </c:pt>
                <c:pt idx="1">
                  <c:v>72469</c:v>
                </c:pt>
                <c:pt idx="2">
                  <c:v>72698</c:v>
                </c:pt>
                <c:pt idx="3">
                  <c:v>72242</c:v>
                </c:pt>
                <c:pt idx="4">
                  <c:v>74138</c:v>
                </c:pt>
                <c:pt idx="5">
                  <c:v>71020</c:v>
                </c:pt>
                <c:pt idx="6">
                  <c:v>71705</c:v>
                </c:pt>
                <c:pt idx="7">
                  <c:v>71209</c:v>
                </c:pt>
                <c:pt idx="8">
                  <c:v>72039</c:v>
                </c:pt>
                <c:pt idx="9">
                  <c:v>72558</c:v>
                </c:pt>
                <c:pt idx="10">
                  <c:v>72616</c:v>
                </c:pt>
                <c:pt idx="11">
                  <c:v>72415</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36863</c:v>
                </c:pt>
                <c:pt idx="1">
                  <c:v>37463</c:v>
                </c:pt>
                <c:pt idx="2">
                  <c:v>38771</c:v>
                </c:pt>
                <c:pt idx="3">
                  <c:v>37750</c:v>
                </c:pt>
                <c:pt idx="4">
                  <c:v>37670</c:v>
                </c:pt>
                <c:pt idx="5">
                  <c:v>37278</c:v>
                </c:pt>
                <c:pt idx="6">
                  <c:v>37976</c:v>
                </c:pt>
                <c:pt idx="7">
                  <c:v>38154</c:v>
                </c:pt>
                <c:pt idx="8">
                  <c:v>38431</c:v>
                </c:pt>
                <c:pt idx="9">
                  <c:v>37919</c:v>
                </c:pt>
                <c:pt idx="10">
                  <c:v>38221</c:v>
                </c:pt>
                <c:pt idx="11">
                  <c:v>38344</c:v>
                </c:pt>
              </c:numCache>
            </c:numRef>
          </c:val>
          <c:smooth val="0"/>
        </c:ser>
        <c:dLbls>
          <c:showLegendKey val="0"/>
          <c:showVal val="0"/>
          <c:showCatName val="0"/>
          <c:showSerName val="0"/>
          <c:showPercent val="0"/>
          <c:showBubbleSize val="0"/>
        </c:dLbls>
        <c:marker val="1"/>
        <c:smooth val="0"/>
        <c:axId val="102899712"/>
        <c:axId val="70998208"/>
      </c:lineChart>
      <c:catAx>
        <c:axId val="102899712"/>
        <c:scaling>
          <c:orientation val="minMax"/>
        </c:scaling>
        <c:delete val="0"/>
        <c:axPos val="b"/>
        <c:numFmt formatCode="General" sourceLinked="1"/>
        <c:majorTickMark val="out"/>
        <c:minorTickMark val="none"/>
        <c:tickLblPos val="nextTo"/>
        <c:crossAx val="70998208"/>
        <c:crosses val="autoZero"/>
        <c:auto val="1"/>
        <c:lblAlgn val="ctr"/>
        <c:lblOffset val="100"/>
        <c:noMultiLvlLbl val="0"/>
      </c:catAx>
      <c:valAx>
        <c:axId val="70998208"/>
        <c:scaling>
          <c:orientation val="minMax"/>
          <c:min val="30000"/>
        </c:scaling>
        <c:delete val="0"/>
        <c:axPos val="l"/>
        <c:majorGridlines/>
        <c:numFmt formatCode="#,##0" sourceLinked="1"/>
        <c:majorTickMark val="out"/>
        <c:minorTickMark val="none"/>
        <c:tickLblPos val="nextTo"/>
        <c:crossAx val="102899712"/>
        <c:crosses val="autoZero"/>
        <c:crossBetween val="between"/>
      </c:valAx>
    </c:plotArea>
    <c:legend>
      <c:legendPos val="b"/>
      <c:layout>
        <c:manualLayout>
          <c:xMode val="edge"/>
          <c:yMode val="edge"/>
          <c:x val="7.6979199589580105E-2"/>
          <c:y val="0.92051865719007708"/>
          <c:w val="0.88222528433945746"/>
          <c:h val="5.4833969128428799E-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DC78D-3AA9-41E8-B189-8A3DB6B02DE8}">
  <ds:schemaRefs>
    <ds:schemaRef ds:uri="http://schemas.openxmlformats.org/officeDocument/2006/bibliography"/>
  </ds:schemaRefs>
</ds:datastoreItem>
</file>

<file path=customXml/itemProps2.xml><?xml version="1.0" encoding="utf-8"?>
<ds:datastoreItem xmlns:ds="http://schemas.openxmlformats.org/officeDocument/2006/customXml" ds:itemID="{DE02CFA0-C6F9-4A89-AFEA-686823E3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FDCCB132</Template>
  <TotalTime>127</TotalTime>
  <Pages>39</Pages>
  <Words>8892</Words>
  <Characters>52999</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61768</CharactersWithSpaces>
  <SharedDoc>false</SharedDoc>
  <HLinks>
    <vt:vector size="288" baseType="variant">
      <vt:variant>
        <vt:i4>655485</vt:i4>
      </vt:variant>
      <vt:variant>
        <vt:i4>402</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KDA-DWR</cp:lastModifiedBy>
  <cp:revision>15</cp:revision>
  <cp:lastPrinted>2012-06-06T20:11:00Z</cp:lastPrinted>
  <dcterms:created xsi:type="dcterms:W3CDTF">2012-08-29T17:19:00Z</dcterms:created>
  <dcterms:modified xsi:type="dcterms:W3CDTF">2012-09-18T13:45:00Z</dcterms:modified>
</cp:coreProperties>
</file>